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2.xml" ContentType="application/vnd.openxmlformats-officedocument.drawingml.chartshapes+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2.xml" ContentType="application/vnd.openxmlformats-officedocument.themeOverride+xml"/>
  <Override PartName="/word/drawings/drawing3.xml" ContentType="application/vnd.openxmlformats-officedocument.drawingml.chartshapes+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3.xml" ContentType="application/vnd.openxmlformats-officedocument.themeOverride+xml"/>
  <Override PartName="/word/drawings/drawing4.xml" ContentType="application/vnd.openxmlformats-officedocument.drawingml.chartshapes+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4.xml" ContentType="application/vnd.openxmlformats-officedocument.themeOverride+xml"/>
  <Override PartName="/word/drawings/drawing5.xml" ContentType="application/vnd.openxmlformats-officedocument.drawingml.chartshapes+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5.xml" ContentType="application/vnd.openxmlformats-officedocument.themeOverride+xml"/>
  <Override PartName="/word/drawings/drawing6.xml" ContentType="application/vnd.openxmlformats-officedocument.drawingml.chartshapes+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drawings/drawing7.xml" ContentType="application/vnd.openxmlformats-officedocument.drawingml.chartshapes+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drawings/drawing8.xml" ContentType="application/vnd.openxmlformats-officedocument.drawingml.chartshapes+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6.xml" ContentType="application/vnd.openxmlformats-officedocument.themeOverride+xml"/>
  <Override PartName="/word/drawings/drawing9.xml" ContentType="application/vnd.openxmlformats-officedocument.drawingml.chartshapes+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drawings/drawing10.xml" ContentType="application/vnd.openxmlformats-officedocument.drawingml.chartshapes+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9F8E30" w14:textId="711EA937" w:rsidR="00046060" w:rsidRDefault="00046060">
      <w:pPr>
        <w:pStyle w:val="Sinespaciado"/>
        <w:rPr>
          <w:rFonts w:ascii="Times New Roman" w:eastAsiaTheme="minorEastAsia" w:hAnsi="Times New Roman" w:cs="Times New Roman"/>
          <w:sz w:val="2"/>
          <w:szCs w:val="24"/>
          <w:lang w:val="es-ES_tradnl" w:eastAsia="es-ES"/>
        </w:rPr>
      </w:pPr>
      <w:bookmarkStart w:id="0" w:name="_Hlk49250386"/>
      <w:bookmarkStart w:id="1" w:name="_Toc410402057"/>
      <w:bookmarkStart w:id="2" w:name="_Toc457550818"/>
      <w:bookmarkEnd w:id="0"/>
      <w:r>
        <w:rPr>
          <w:rFonts w:ascii="Times New Roman" w:eastAsiaTheme="minorEastAsia" w:hAnsi="Times New Roman" w:cs="Times New Roman"/>
          <w:sz w:val="2"/>
          <w:szCs w:val="24"/>
          <w:lang w:val="es-ES_tradnl" w:eastAsia="es-ES"/>
        </w:rPr>
        <w:tab/>
      </w:r>
    </w:p>
    <w:sdt>
      <w:sdtPr>
        <w:rPr>
          <w:rFonts w:ascii="Times New Roman" w:eastAsiaTheme="minorEastAsia" w:hAnsi="Times New Roman" w:cs="Times New Roman"/>
          <w:sz w:val="2"/>
          <w:szCs w:val="24"/>
          <w:lang w:val="es-ES_tradnl" w:eastAsia="es-ES"/>
        </w:rPr>
        <w:id w:val="-1951234547"/>
        <w:docPartObj>
          <w:docPartGallery w:val="Cover Pages"/>
          <w:docPartUnique/>
        </w:docPartObj>
      </w:sdtPr>
      <w:sdtEndPr>
        <w:rPr>
          <w:rFonts w:eastAsiaTheme="majorEastAsia"/>
          <w:b/>
          <w:bCs/>
          <w:color w:val="FF0000"/>
          <w:sz w:val="22"/>
          <w:szCs w:val="26"/>
          <w:lang w:val="es-GT"/>
        </w:rPr>
      </w:sdtEndPr>
      <w:sdtContent>
        <w:p w14:paraId="5BB9D6E1" w14:textId="4589C6E1" w:rsidR="00DB22E2" w:rsidRPr="00AC1506" w:rsidRDefault="009A1471">
          <w:pPr>
            <w:pStyle w:val="Sinespaciado"/>
            <w:rPr>
              <w:rFonts w:ascii="Times New Roman" w:hAnsi="Times New Roman" w:cs="Times New Roman"/>
              <w:sz w:val="2"/>
            </w:rPr>
          </w:pPr>
          <w:r w:rsidRPr="00AC1506">
            <w:rPr>
              <w:rFonts w:ascii="Times New Roman" w:hAnsi="Times New Roman" w:cs="Times New Roman"/>
              <w:noProof/>
              <w:lang w:eastAsia="es-GT"/>
            </w:rPr>
            <mc:AlternateContent>
              <mc:Choice Requires="wps">
                <w:drawing>
                  <wp:anchor distT="0" distB="0" distL="114300" distR="114300" simplePos="0" relativeHeight="251658242" behindDoc="0" locked="0" layoutInCell="1" allowOverlap="1" wp14:anchorId="49730031" wp14:editId="046655F8">
                    <wp:simplePos x="0" y="0"/>
                    <wp:positionH relativeFrom="page">
                      <wp:align>center</wp:align>
                    </wp:positionH>
                    <wp:positionV relativeFrom="margin">
                      <wp:align>top</wp:align>
                    </wp:positionV>
                    <wp:extent cx="5943600" cy="2344615"/>
                    <wp:effectExtent l="0" t="0" r="0" b="0"/>
                    <wp:wrapNone/>
                    <wp:docPr id="62" name="Cuadro de texto 62"/>
                    <wp:cNvGraphicFramePr/>
                    <a:graphic xmlns:a="http://schemas.openxmlformats.org/drawingml/2006/main">
                      <a:graphicData uri="http://schemas.microsoft.com/office/word/2010/wordprocessingShape">
                        <wps:wsp>
                          <wps:cNvSpPr txBox="1"/>
                          <wps:spPr>
                            <a:xfrm>
                              <a:off x="0" y="0"/>
                              <a:ext cx="5943600" cy="23446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Times New Roman" w:eastAsiaTheme="majorEastAsia" w:hAnsi="Times New Roman" w:cs="Times New Roman"/>
                                    <w:caps/>
                                    <w:color w:val="1F497D" w:themeColor="text2"/>
                                    <w:sz w:val="64"/>
                                    <w:szCs w:val="64"/>
                                  </w:rPr>
                                  <w:alias w:val="Título"/>
                                  <w:tag w:val=""/>
                                  <w:id w:val="797192764"/>
                                  <w:dataBinding w:prefixMappings="xmlns:ns0='http://purl.org/dc/elements/1.1/' xmlns:ns1='http://schemas.openxmlformats.org/package/2006/metadata/core-properties' " w:xpath="/ns1:coreProperties[1]/ns0:title[1]" w:storeItemID="{6C3C8BC8-F283-45AE-878A-BAB7291924A1}"/>
                                  <w:text/>
                                </w:sdtPr>
                                <w:sdtEndPr>
                                  <w:rPr>
                                    <w:sz w:val="68"/>
                                    <w:szCs w:val="68"/>
                                  </w:rPr>
                                </w:sdtEndPr>
                                <w:sdtContent>
                                  <w:p w14:paraId="335CAA98" w14:textId="78F041A5" w:rsidR="000A5B5B" w:rsidRPr="00445193" w:rsidRDefault="000A5B5B">
                                    <w:pPr>
                                      <w:pStyle w:val="Sinespaciado"/>
                                      <w:rPr>
                                        <w:rFonts w:asciiTheme="majorHAnsi" w:eastAsiaTheme="majorEastAsia" w:hAnsiTheme="majorHAnsi" w:cstheme="majorBidi"/>
                                        <w:caps/>
                                        <w:color w:val="1F497D" w:themeColor="text2"/>
                                        <w:sz w:val="68"/>
                                        <w:szCs w:val="68"/>
                                      </w:rPr>
                                    </w:pPr>
                                    <w:r w:rsidRPr="00BF230D">
                                      <w:rPr>
                                        <w:rFonts w:ascii="Times New Roman" w:eastAsiaTheme="majorEastAsia" w:hAnsi="Times New Roman" w:cs="Times New Roman"/>
                                        <w:caps/>
                                        <w:color w:val="1F497D" w:themeColor="text2"/>
                                        <w:sz w:val="64"/>
                                        <w:szCs w:val="64"/>
                                      </w:rPr>
                                      <w:t>Informe de las Finanz</w:t>
                                    </w:r>
                                    <w:r>
                                      <w:rPr>
                                        <w:rFonts w:ascii="Times New Roman" w:eastAsiaTheme="majorEastAsia" w:hAnsi="Times New Roman" w:cs="Times New Roman"/>
                                        <w:caps/>
                                        <w:color w:val="1F497D" w:themeColor="text2"/>
                                        <w:sz w:val="64"/>
                                        <w:szCs w:val="64"/>
                                      </w:rPr>
                                      <w:t>A</w:t>
                                    </w:r>
                                    <w:r w:rsidRPr="00BF230D">
                                      <w:rPr>
                                        <w:rFonts w:ascii="Times New Roman" w:eastAsiaTheme="majorEastAsia" w:hAnsi="Times New Roman" w:cs="Times New Roman"/>
                                        <w:caps/>
                                        <w:color w:val="1F497D" w:themeColor="text2"/>
                                        <w:sz w:val="64"/>
                                        <w:szCs w:val="64"/>
                                      </w:rPr>
                                      <w:t>s públicas</w:t>
                                    </w:r>
                                  </w:p>
                                </w:sdtContent>
                              </w:sdt>
                              <w:p w14:paraId="050956C6" w14:textId="40EC550B" w:rsidR="000A5B5B" w:rsidRPr="00BF230D" w:rsidRDefault="00E002E7">
                                <w:pPr>
                                  <w:pStyle w:val="Sinespaciado"/>
                                  <w:spacing w:before="120"/>
                                  <w:rPr>
                                    <w:rFonts w:ascii="Times New Roman" w:hAnsi="Times New Roman" w:cs="Times New Roman"/>
                                    <w:b/>
                                    <w:bCs/>
                                    <w:i/>
                                    <w:iCs/>
                                    <w:color w:val="4F81BD" w:themeColor="accent1"/>
                                    <w:sz w:val="36"/>
                                    <w:szCs w:val="36"/>
                                  </w:rPr>
                                </w:pPr>
                                <w:sdt>
                                  <w:sdtPr>
                                    <w:rPr>
                                      <w:rFonts w:ascii="Times New Roman" w:hAnsi="Times New Roman" w:cs="Times New Roman"/>
                                      <w:b/>
                                      <w:bCs/>
                                      <w:i/>
                                      <w:iCs/>
                                      <w:color w:val="4F81BD" w:themeColor="accent1"/>
                                      <w:sz w:val="36"/>
                                      <w:szCs w:val="36"/>
                                    </w:rPr>
                                    <w:alias w:val="Subtítulo"/>
                                    <w:tag w:val=""/>
                                    <w:id w:val="2021743002"/>
                                    <w:dataBinding w:prefixMappings="xmlns:ns0='http://purl.org/dc/elements/1.1/' xmlns:ns1='http://schemas.openxmlformats.org/package/2006/metadata/core-properties' " w:xpath="/ns1:coreProperties[1]/ns0:subject[1]" w:storeItemID="{6C3C8BC8-F283-45AE-878A-BAB7291924A1}"/>
                                    <w:text/>
                                  </w:sdtPr>
                                  <w:sdtEndPr/>
                                  <w:sdtContent>
                                    <w:r w:rsidR="000A5B5B">
                                      <w:rPr>
                                        <w:rFonts w:ascii="Times New Roman" w:hAnsi="Times New Roman" w:cs="Times New Roman"/>
                                        <w:b/>
                                        <w:bCs/>
                                        <w:i/>
                                        <w:iCs/>
                                        <w:color w:val="4F81BD" w:themeColor="accent1"/>
                                        <w:sz w:val="36"/>
                                        <w:szCs w:val="36"/>
                                      </w:rPr>
                                      <w:t>Segundo Trimestre</w:t>
                                    </w:r>
                                  </w:sdtContent>
                                </w:sdt>
                                <w:r w:rsidR="000A5B5B" w:rsidRPr="00BF230D">
                                  <w:rPr>
                                    <w:rFonts w:ascii="Times New Roman" w:hAnsi="Times New Roman" w:cs="Times New Roman"/>
                                    <w:b/>
                                    <w:bCs/>
                                    <w:i/>
                                    <w:iCs/>
                                    <w:color w:val="4F81BD" w:themeColor="accent1"/>
                                    <w:sz w:val="36"/>
                                    <w:szCs w:val="36"/>
                                  </w:rPr>
                                  <w:t xml:space="preserve"> 202</w:t>
                                </w:r>
                                <w:r w:rsidR="000A5B5B">
                                  <w:rPr>
                                    <w:rFonts w:ascii="Times New Roman" w:hAnsi="Times New Roman" w:cs="Times New Roman"/>
                                    <w:b/>
                                    <w:bCs/>
                                    <w:i/>
                                    <w:iCs/>
                                    <w:color w:val="4F81BD" w:themeColor="accent1"/>
                                    <w:sz w:val="36"/>
                                    <w:szCs w:val="36"/>
                                  </w:rPr>
                                  <w:t>1</w:t>
                                </w:r>
                                <w:r w:rsidR="000A5B5B" w:rsidRPr="00BF230D">
                                  <w:rPr>
                                    <w:rFonts w:ascii="Times New Roman" w:hAnsi="Times New Roman" w:cs="Times New Roman"/>
                                    <w:b/>
                                    <w:bCs/>
                                    <w:i/>
                                    <w:iCs/>
                                    <w:lang w:val="es-ES"/>
                                  </w:rPr>
                                  <w:t xml:space="preserve"> </w:t>
                                </w:r>
                              </w:p>
                              <w:p w14:paraId="52529D54" w14:textId="77777777" w:rsidR="000A5B5B" w:rsidRDefault="000A5B5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76500</wp14:pctWidth>
                    </wp14:sizeRelH>
                    <wp14:sizeRelV relativeFrom="margin">
                      <wp14:pctHeight>0</wp14:pctHeight>
                    </wp14:sizeRelV>
                  </wp:anchor>
                </w:drawing>
              </mc:Choice>
              <mc:Fallback>
                <w:pict>
                  <v:shapetype w14:anchorId="49730031" id="_x0000_t202" coordsize="21600,21600" o:spt="202" path="m,l,21600r21600,l21600,xe">
                    <v:stroke joinstyle="miter"/>
                    <v:path gradientshapeok="t" o:connecttype="rect"/>
                  </v:shapetype>
                  <v:shape id="Cuadro de texto 62" o:spid="_x0000_s1026" type="#_x0000_t202" style="position:absolute;margin-left:0;margin-top:0;width:468pt;height:184.6pt;z-index:251658242;visibility:visible;mso-wrap-style:square;mso-width-percent:765;mso-height-percent:0;mso-wrap-distance-left:9pt;mso-wrap-distance-top:0;mso-wrap-distance-right:9pt;mso-wrap-distance-bottom:0;mso-position-horizontal:center;mso-position-horizontal-relative:page;mso-position-vertical:top;mso-position-vertical-relative:margin;mso-width-percent:765;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" filled="f" stroked="f" strokeweight=".5pt">
                    <v:textbox>
                      <w:txbxContent>
                        <w:sdt>
                          <w:sdtPr>
                            <w:rPr>
                              <w:rFonts w:ascii="Times New Roman" w:eastAsiaTheme="majorEastAsia" w:hAnsi="Times New Roman" w:cs="Times New Roman"/>
                              <w:caps/>
                              <w:color w:val="1F497D" w:themeColor="text2"/>
                              <w:sz w:val="64"/>
                              <w:szCs w:val="64"/>
                            </w:rPr>
                            <w:alias w:val="Título"/>
                            <w:tag w:val=""/>
                            <w:id w:val="797192764"/>
                            <w:dataBinding w:prefixMappings="xmlns:ns0='http://purl.org/dc/elements/1.1/' xmlns:ns1='http://schemas.openxmlformats.org/package/2006/metadata/core-properties' " w:xpath="/ns1:coreProperties[1]/ns0:title[1]" w:storeItemID="{6C3C8BC8-F283-45AE-878A-BAB7291924A1}"/>
                            <w:text/>
                          </w:sdtPr>
                          <w:sdtEndPr>
                            <w:rPr>
                              <w:sz w:val="68"/>
                              <w:szCs w:val="68"/>
                            </w:rPr>
                          </w:sdtEndPr>
                          <w:sdtContent>
                            <w:p w14:paraId="335CAA98" w14:textId="78F041A5" w:rsidR="000A5B5B" w:rsidRPr="00445193" w:rsidRDefault="000A5B5B">
                              <w:pPr>
                                <w:pStyle w:val="Sinespaciado"/>
                                <w:rPr>
                                  <w:rFonts w:asciiTheme="majorHAnsi" w:eastAsiaTheme="majorEastAsia" w:hAnsiTheme="majorHAnsi" w:cstheme="majorBidi"/>
                                  <w:caps/>
                                  <w:color w:val="1F497D" w:themeColor="text2"/>
                                  <w:sz w:val="68"/>
                                  <w:szCs w:val="68"/>
                                </w:rPr>
                              </w:pPr>
                              <w:r w:rsidRPr="00BF230D">
                                <w:rPr>
                                  <w:rFonts w:ascii="Times New Roman" w:eastAsiaTheme="majorEastAsia" w:hAnsi="Times New Roman" w:cs="Times New Roman"/>
                                  <w:caps/>
                                  <w:color w:val="1F497D" w:themeColor="text2"/>
                                  <w:sz w:val="64"/>
                                  <w:szCs w:val="64"/>
                                </w:rPr>
                                <w:t>Informe de las Finanz</w:t>
                              </w:r>
                              <w:r>
                                <w:rPr>
                                  <w:rFonts w:ascii="Times New Roman" w:eastAsiaTheme="majorEastAsia" w:hAnsi="Times New Roman" w:cs="Times New Roman"/>
                                  <w:caps/>
                                  <w:color w:val="1F497D" w:themeColor="text2"/>
                                  <w:sz w:val="64"/>
                                  <w:szCs w:val="64"/>
                                </w:rPr>
                                <w:t>A</w:t>
                              </w:r>
                              <w:r w:rsidRPr="00BF230D">
                                <w:rPr>
                                  <w:rFonts w:ascii="Times New Roman" w:eastAsiaTheme="majorEastAsia" w:hAnsi="Times New Roman" w:cs="Times New Roman"/>
                                  <w:caps/>
                                  <w:color w:val="1F497D" w:themeColor="text2"/>
                                  <w:sz w:val="64"/>
                                  <w:szCs w:val="64"/>
                                </w:rPr>
                                <w:t>s públicas</w:t>
                              </w:r>
                            </w:p>
                          </w:sdtContent>
                        </w:sdt>
                        <w:p w14:paraId="050956C6" w14:textId="40EC550B" w:rsidR="000A5B5B" w:rsidRPr="00BF230D" w:rsidRDefault="00E002E7">
                          <w:pPr>
                            <w:pStyle w:val="Sinespaciado"/>
                            <w:spacing w:before="120"/>
                            <w:rPr>
                              <w:rFonts w:ascii="Times New Roman" w:hAnsi="Times New Roman" w:cs="Times New Roman"/>
                              <w:b/>
                              <w:bCs/>
                              <w:i/>
                              <w:iCs/>
                              <w:color w:val="4F81BD" w:themeColor="accent1"/>
                              <w:sz w:val="36"/>
                              <w:szCs w:val="36"/>
                            </w:rPr>
                          </w:pPr>
                          <w:sdt>
                            <w:sdtPr>
                              <w:rPr>
                                <w:rFonts w:ascii="Times New Roman" w:hAnsi="Times New Roman" w:cs="Times New Roman"/>
                                <w:b/>
                                <w:bCs/>
                                <w:i/>
                                <w:iCs/>
                                <w:color w:val="4F81BD" w:themeColor="accent1"/>
                                <w:sz w:val="36"/>
                                <w:szCs w:val="36"/>
                              </w:rPr>
                              <w:alias w:val="Subtítulo"/>
                              <w:tag w:val=""/>
                              <w:id w:val="2021743002"/>
                              <w:dataBinding w:prefixMappings="xmlns:ns0='http://purl.org/dc/elements/1.1/' xmlns:ns1='http://schemas.openxmlformats.org/package/2006/metadata/core-properties' " w:xpath="/ns1:coreProperties[1]/ns0:subject[1]" w:storeItemID="{6C3C8BC8-F283-45AE-878A-BAB7291924A1}"/>
                              <w:text/>
                            </w:sdtPr>
                            <w:sdtEndPr/>
                            <w:sdtContent>
                              <w:r w:rsidR="000A5B5B">
                                <w:rPr>
                                  <w:rFonts w:ascii="Times New Roman" w:hAnsi="Times New Roman" w:cs="Times New Roman"/>
                                  <w:b/>
                                  <w:bCs/>
                                  <w:i/>
                                  <w:iCs/>
                                  <w:color w:val="4F81BD" w:themeColor="accent1"/>
                                  <w:sz w:val="36"/>
                                  <w:szCs w:val="36"/>
                                </w:rPr>
                                <w:t>Segundo Trimestre</w:t>
                              </w:r>
                            </w:sdtContent>
                          </w:sdt>
                          <w:r w:rsidR="000A5B5B" w:rsidRPr="00BF230D">
                            <w:rPr>
                              <w:rFonts w:ascii="Times New Roman" w:hAnsi="Times New Roman" w:cs="Times New Roman"/>
                              <w:b/>
                              <w:bCs/>
                              <w:i/>
                              <w:iCs/>
                              <w:color w:val="4F81BD" w:themeColor="accent1"/>
                              <w:sz w:val="36"/>
                              <w:szCs w:val="36"/>
                            </w:rPr>
                            <w:t xml:space="preserve"> 202</w:t>
                          </w:r>
                          <w:r w:rsidR="000A5B5B">
                            <w:rPr>
                              <w:rFonts w:ascii="Times New Roman" w:hAnsi="Times New Roman" w:cs="Times New Roman"/>
                              <w:b/>
                              <w:bCs/>
                              <w:i/>
                              <w:iCs/>
                              <w:color w:val="4F81BD" w:themeColor="accent1"/>
                              <w:sz w:val="36"/>
                              <w:szCs w:val="36"/>
                            </w:rPr>
                            <w:t>1</w:t>
                          </w:r>
                          <w:r w:rsidR="000A5B5B" w:rsidRPr="00BF230D">
                            <w:rPr>
                              <w:rFonts w:ascii="Times New Roman" w:hAnsi="Times New Roman" w:cs="Times New Roman"/>
                              <w:b/>
                              <w:bCs/>
                              <w:i/>
                              <w:iCs/>
                              <w:lang w:val="es-ES"/>
                            </w:rPr>
                            <w:t xml:space="preserve"> </w:t>
                          </w:r>
                        </w:p>
                        <w:p w14:paraId="52529D54" w14:textId="77777777" w:rsidR="000A5B5B" w:rsidRDefault="000A5B5B"/>
                      </w:txbxContent>
                    </v:textbox>
                    <w10:wrap anchorx="page" anchory="margin"/>
                  </v:shape>
                </w:pict>
              </mc:Fallback>
            </mc:AlternateContent>
          </w:r>
        </w:p>
        <w:p w14:paraId="03756366" w14:textId="2E3848D9" w:rsidR="00DB22E2" w:rsidRPr="00AC1506" w:rsidRDefault="00DB22E2" w:rsidP="00CD34D6">
          <w:pPr>
            <w:rPr>
              <w:rFonts w:cs="Times New Roman"/>
            </w:rPr>
          </w:pPr>
          <w:r w:rsidRPr="00AC1506">
            <w:rPr>
              <w:rFonts w:cs="Times New Roman"/>
              <w:noProof/>
              <w:color w:val="4F81BD" w:themeColor="accent1"/>
              <w:sz w:val="36"/>
              <w:szCs w:val="36"/>
              <w:lang w:eastAsia="es-GT"/>
            </w:rPr>
            <mc:AlternateContent>
              <mc:Choice Requires="wpg">
                <w:drawing>
                  <wp:anchor distT="0" distB="0" distL="114300" distR="114300" simplePos="0" relativeHeight="251658241" behindDoc="1" locked="0" layoutInCell="1" allowOverlap="1" wp14:anchorId="05D5122E" wp14:editId="5A272F86">
                    <wp:simplePos x="0" y="0"/>
                    <mc:AlternateContent>
                      <mc:Choice Requires="wp14">
                        <wp:positionH relativeFrom="page">
                          <wp14:pctPosHOffset>22000</wp14:pctPosHOffset>
                        </wp:positionH>
                      </mc:Choice>
                      <mc:Fallback>
                        <wp:positionH relativeFrom="page">
                          <wp:posOffset>1709420</wp:posOffset>
                        </wp:positionH>
                      </mc:Fallback>
                    </mc:AlternateContent>
                    <mc:AlternateContent>
                      <mc:Choice Requires="wp14">
                        <wp:positionV relativeFrom="page">
                          <wp14:pctPosVOffset>30000</wp14:pctPosVOffset>
                        </wp:positionV>
                      </mc:Choice>
                      <mc:Fallback>
                        <wp:positionV relativeFrom="page">
                          <wp:posOffset>3017520</wp:posOffset>
                        </wp:positionV>
                      </mc:Fallback>
                    </mc:AlternateContent>
                    <wp:extent cx="5494369" cy="5696712"/>
                    <wp:effectExtent l="0" t="0" r="0" b="3175"/>
                    <wp:wrapNone/>
                    <wp:docPr id="63" name="Grupo 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494369" cy="5696712"/>
                              <a:chOff x="0" y="0"/>
                              <a:chExt cx="4329113" cy="4491038"/>
                            </a:xfrm>
                            <a:solidFill>
                              <a:schemeClr val="tx2">
                                <a:lumMod val="60000"/>
                                <a:lumOff val="40000"/>
                              </a:schemeClr>
                            </a:solidFill>
                          </wpg:grpSpPr>
                          <wps:wsp>
                            <wps:cNvPr id="64" name="Forma libre 64"/>
                            <wps:cNvSpPr>
                              <a:spLocks/>
                            </wps:cNvSpPr>
                            <wps:spPr bwMode="auto">
                              <a:xfrm>
                                <a:off x="1501775" y="0"/>
                                <a:ext cx="2827338" cy="2835275"/>
                              </a:xfrm>
                              <a:custGeom>
                                <a:avLst/>
                                <a:gdLst>
                                  <a:gd name="T0" fmla="*/ 4 w 1781"/>
                                  <a:gd name="T1" fmla="*/ 1786 h 1786"/>
                                  <a:gd name="T2" fmla="*/ 0 w 1781"/>
                                  <a:gd name="T3" fmla="*/ 1782 h 1786"/>
                                  <a:gd name="T4" fmla="*/ 1776 w 1781"/>
                                  <a:gd name="T5" fmla="*/ 0 h 1786"/>
                                  <a:gd name="T6" fmla="*/ 1781 w 1781"/>
                                  <a:gd name="T7" fmla="*/ 5 h 1786"/>
                                  <a:gd name="T8" fmla="*/ 4 w 1781"/>
                                  <a:gd name="T9" fmla="*/ 1786 h 1786"/>
                                </a:gdLst>
                                <a:ahLst/>
                                <a:cxnLst>
                                  <a:cxn ang="0">
                                    <a:pos x="T0" y="T1"/>
                                  </a:cxn>
                                  <a:cxn ang="0">
                                    <a:pos x="T2" y="T3"/>
                                  </a:cxn>
                                  <a:cxn ang="0">
                                    <a:pos x="T4" y="T5"/>
                                  </a:cxn>
                                  <a:cxn ang="0">
                                    <a:pos x="T6" y="T7"/>
                                  </a:cxn>
                                  <a:cxn ang="0">
                                    <a:pos x="T8" y="T9"/>
                                  </a:cxn>
                                </a:cxnLst>
                                <a:rect l="0" t="0" r="r" b="b"/>
                                <a:pathLst>
                                  <a:path w="1781" h="1786">
                                    <a:moveTo>
                                      <a:pt x="4" y="1786"/>
                                    </a:moveTo>
                                    <a:lnTo>
                                      <a:pt x="0" y="1782"/>
                                    </a:lnTo>
                                    <a:lnTo>
                                      <a:pt x="1776" y="0"/>
                                    </a:lnTo>
                                    <a:lnTo>
                                      <a:pt x="1781" y="5"/>
                                    </a:lnTo>
                                    <a:lnTo>
                                      <a:pt x="4" y="1786"/>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5" name="Forma libre 65"/>
                            <wps:cNvSpPr>
                              <a:spLocks/>
                            </wps:cNvSpPr>
                            <wps:spPr bwMode="auto">
                              <a:xfrm>
                                <a:off x="782637" y="227013"/>
                                <a:ext cx="3546475" cy="3546475"/>
                              </a:xfrm>
                              <a:custGeom>
                                <a:avLst/>
                                <a:gdLst>
                                  <a:gd name="T0" fmla="*/ 5 w 2234"/>
                                  <a:gd name="T1" fmla="*/ 2234 h 2234"/>
                                  <a:gd name="T2" fmla="*/ 0 w 2234"/>
                                  <a:gd name="T3" fmla="*/ 2229 h 2234"/>
                                  <a:gd name="T4" fmla="*/ 2229 w 2234"/>
                                  <a:gd name="T5" fmla="*/ 0 h 2234"/>
                                  <a:gd name="T6" fmla="*/ 2234 w 2234"/>
                                  <a:gd name="T7" fmla="*/ 5 h 2234"/>
                                  <a:gd name="T8" fmla="*/ 5 w 2234"/>
                                  <a:gd name="T9" fmla="*/ 2234 h 2234"/>
                                </a:gdLst>
                                <a:ahLst/>
                                <a:cxnLst>
                                  <a:cxn ang="0">
                                    <a:pos x="T0" y="T1"/>
                                  </a:cxn>
                                  <a:cxn ang="0">
                                    <a:pos x="T2" y="T3"/>
                                  </a:cxn>
                                  <a:cxn ang="0">
                                    <a:pos x="T4" y="T5"/>
                                  </a:cxn>
                                  <a:cxn ang="0">
                                    <a:pos x="T6" y="T7"/>
                                  </a:cxn>
                                  <a:cxn ang="0">
                                    <a:pos x="T8" y="T9"/>
                                  </a:cxn>
                                </a:cxnLst>
                                <a:rect l="0" t="0" r="r" b="b"/>
                                <a:pathLst>
                                  <a:path w="2234" h="2234">
                                    <a:moveTo>
                                      <a:pt x="5" y="2234"/>
                                    </a:moveTo>
                                    <a:lnTo>
                                      <a:pt x="0" y="2229"/>
                                    </a:lnTo>
                                    <a:lnTo>
                                      <a:pt x="2229" y="0"/>
                                    </a:lnTo>
                                    <a:lnTo>
                                      <a:pt x="2234" y="5"/>
                                    </a:lnTo>
                                    <a:lnTo>
                                      <a:pt x="5" y="2234"/>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6" name="Forma libre 66"/>
                            <wps:cNvSpPr>
                              <a:spLocks/>
                            </wps:cNvSpPr>
                            <wps:spPr bwMode="auto">
                              <a:xfrm>
                                <a:off x="841375" y="109538"/>
                                <a:ext cx="3487738" cy="3487738"/>
                              </a:xfrm>
                              <a:custGeom>
                                <a:avLst/>
                                <a:gdLst>
                                  <a:gd name="T0" fmla="*/ 9 w 2197"/>
                                  <a:gd name="T1" fmla="*/ 2197 h 2197"/>
                                  <a:gd name="T2" fmla="*/ 0 w 2197"/>
                                  <a:gd name="T3" fmla="*/ 2193 h 2197"/>
                                  <a:gd name="T4" fmla="*/ 2188 w 2197"/>
                                  <a:gd name="T5" fmla="*/ 0 h 2197"/>
                                  <a:gd name="T6" fmla="*/ 2197 w 2197"/>
                                  <a:gd name="T7" fmla="*/ 10 h 2197"/>
                                  <a:gd name="T8" fmla="*/ 9 w 2197"/>
                                  <a:gd name="T9" fmla="*/ 2197 h 2197"/>
                                </a:gdLst>
                                <a:ahLst/>
                                <a:cxnLst>
                                  <a:cxn ang="0">
                                    <a:pos x="T0" y="T1"/>
                                  </a:cxn>
                                  <a:cxn ang="0">
                                    <a:pos x="T2" y="T3"/>
                                  </a:cxn>
                                  <a:cxn ang="0">
                                    <a:pos x="T4" y="T5"/>
                                  </a:cxn>
                                  <a:cxn ang="0">
                                    <a:pos x="T6" y="T7"/>
                                  </a:cxn>
                                  <a:cxn ang="0">
                                    <a:pos x="T8" y="T9"/>
                                  </a:cxn>
                                </a:cxnLst>
                                <a:rect l="0" t="0" r="r" b="b"/>
                                <a:pathLst>
                                  <a:path w="2197" h="2197">
                                    <a:moveTo>
                                      <a:pt x="9" y="2197"/>
                                    </a:moveTo>
                                    <a:lnTo>
                                      <a:pt x="0" y="2193"/>
                                    </a:lnTo>
                                    <a:lnTo>
                                      <a:pt x="2188" y="0"/>
                                    </a:lnTo>
                                    <a:lnTo>
                                      <a:pt x="2197" y="10"/>
                                    </a:lnTo>
                                    <a:lnTo>
                                      <a:pt x="9" y="2197"/>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7" name="Forma libre 67"/>
                            <wps:cNvSpPr>
                              <a:spLocks/>
                            </wps:cNvSpPr>
                            <wps:spPr bwMode="auto">
                              <a:xfrm>
                                <a:off x="1216025" y="498475"/>
                                <a:ext cx="3113088" cy="3121025"/>
                              </a:xfrm>
                              <a:custGeom>
                                <a:avLst/>
                                <a:gdLst>
                                  <a:gd name="T0" fmla="*/ 9 w 1961"/>
                                  <a:gd name="T1" fmla="*/ 1966 h 1966"/>
                                  <a:gd name="T2" fmla="*/ 0 w 1961"/>
                                  <a:gd name="T3" fmla="*/ 1957 h 1966"/>
                                  <a:gd name="T4" fmla="*/ 1952 w 1961"/>
                                  <a:gd name="T5" fmla="*/ 0 h 1966"/>
                                  <a:gd name="T6" fmla="*/ 1961 w 1961"/>
                                  <a:gd name="T7" fmla="*/ 9 h 1966"/>
                                  <a:gd name="T8" fmla="*/ 9 w 1961"/>
                                  <a:gd name="T9" fmla="*/ 1966 h 1966"/>
                                </a:gdLst>
                                <a:ahLst/>
                                <a:cxnLst>
                                  <a:cxn ang="0">
                                    <a:pos x="T0" y="T1"/>
                                  </a:cxn>
                                  <a:cxn ang="0">
                                    <a:pos x="T2" y="T3"/>
                                  </a:cxn>
                                  <a:cxn ang="0">
                                    <a:pos x="T4" y="T5"/>
                                  </a:cxn>
                                  <a:cxn ang="0">
                                    <a:pos x="T6" y="T7"/>
                                  </a:cxn>
                                  <a:cxn ang="0">
                                    <a:pos x="T8" y="T9"/>
                                  </a:cxn>
                                </a:cxnLst>
                                <a:rect l="0" t="0" r="r" b="b"/>
                                <a:pathLst>
                                  <a:path w="1961" h="1966">
                                    <a:moveTo>
                                      <a:pt x="9" y="1966"/>
                                    </a:moveTo>
                                    <a:lnTo>
                                      <a:pt x="0" y="1957"/>
                                    </a:lnTo>
                                    <a:lnTo>
                                      <a:pt x="1952" y="0"/>
                                    </a:lnTo>
                                    <a:lnTo>
                                      <a:pt x="1961" y="9"/>
                                    </a:lnTo>
                                    <a:lnTo>
                                      <a:pt x="9" y="1966"/>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8" name="Forma libre 68"/>
                            <wps:cNvSpPr>
                              <a:spLocks/>
                            </wps:cNvSpPr>
                            <wps:spPr bwMode="auto">
                              <a:xfrm>
                                <a:off x="0" y="153988"/>
                                <a:ext cx="4329113" cy="4337050"/>
                              </a:xfrm>
                              <a:custGeom>
                                <a:avLst/>
                                <a:gdLst>
                                  <a:gd name="T0" fmla="*/ 0 w 2727"/>
                                  <a:gd name="T1" fmla="*/ 2732 h 2732"/>
                                  <a:gd name="T2" fmla="*/ 0 w 2727"/>
                                  <a:gd name="T3" fmla="*/ 2728 h 2732"/>
                                  <a:gd name="T4" fmla="*/ 2722 w 2727"/>
                                  <a:gd name="T5" fmla="*/ 0 h 2732"/>
                                  <a:gd name="T6" fmla="*/ 2727 w 2727"/>
                                  <a:gd name="T7" fmla="*/ 5 h 2732"/>
                                  <a:gd name="T8" fmla="*/ 0 w 2727"/>
                                  <a:gd name="T9" fmla="*/ 2732 h 2732"/>
                                </a:gdLst>
                                <a:ahLst/>
                                <a:cxnLst>
                                  <a:cxn ang="0">
                                    <a:pos x="T0" y="T1"/>
                                  </a:cxn>
                                  <a:cxn ang="0">
                                    <a:pos x="T2" y="T3"/>
                                  </a:cxn>
                                  <a:cxn ang="0">
                                    <a:pos x="T4" y="T5"/>
                                  </a:cxn>
                                  <a:cxn ang="0">
                                    <a:pos x="T6" y="T7"/>
                                  </a:cxn>
                                  <a:cxn ang="0">
                                    <a:pos x="T8" y="T9"/>
                                  </a:cxn>
                                </a:cxnLst>
                                <a:rect l="0" t="0" r="r" b="b"/>
                                <a:pathLst>
                                  <a:path w="2727" h="2732">
                                    <a:moveTo>
                                      <a:pt x="0" y="2732"/>
                                    </a:moveTo>
                                    <a:lnTo>
                                      <a:pt x="0" y="2728"/>
                                    </a:lnTo>
                                    <a:lnTo>
                                      <a:pt x="2722" y="0"/>
                                    </a:lnTo>
                                    <a:lnTo>
                                      <a:pt x="2727" y="5"/>
                                    </a:lnTo>
                                    <a:lnTo>
                                      <a:pt x="0" y="2732"/>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page">
                      <wp14:pctWidth>70600</wp14:pctWidth>
                    </wp14:sizeRelH>
                    <wp14:sizeRelV relativeFrom="page">
                      <wp14:pctHeight>56600</wp14:pctHeight>
                    </wp14:sizeRelV>
                  </wp:anchor>
                </w:drawing>
              </mc:Choice>
              <mc:Fallback>
                <w:pict>
                  <v:group w14:anchorId="024E33A4" id="Grupo 2" o:spid="_x0000_s1026" style="position:absolute;margin-left:0;margin-top:0;width:432.65pt;height:448.55pt;z-index:-251658239;mso-width-percent:706;mso-height-percent:566;mso-left-percent:220;mso-top-percent:300;mso-position-horizontal-relative:page;mso-position-vertical-relative:page;mso-width-percent:706;mso-height-percent:566;mso-left-percent:220;mso-top-percent:300" coordsize="43291,44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">
                    <o:lock v:ext="edit" aspectratio="t"/>
                    <v:shape id="Forma libre 64" o:spid="_x0000_s1027" style="position:absolute;left:15017;width:28274;height:28352;visibility:visible;mso-wrap-style:square;v-text-anchor:top" coordsize="1781,1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" path="m4,1786l,1782,1776,r5,5l4,1786xe" filled="f" stroked="f">
                      <v:path arrowok="t" o:connecttype="custom" o:connectlocs="6350,2835275;0,2828925;2819400,0;2827338,7938;6350,2835275" o:connectangles="0,0,0,0,0"/>
                    </v:shape>
                    <v:shape id="Forma libre 65" o:spid="_x0000_s1028" style="position:absolute;left:7826;top:2270;width:35465;height:35464;visibility:visible;mso-wrap-style:square;v-text-anchor:top" coordsize="2234,2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" path="m5,2234l,2229,2229,r5,5l5,2234xe" filled="f" stroked="f">
                      <v:path arrowok="t" o:connecttype="custom" o:connectlocs="7938,3546475;0,3538538;3538538,0;3546475,7938;7938,3546475" o:connectangles="0,0,0,0,0"/>
                    </v:shape>
                    <v:shape id="Forma libre 66" o:spid="_x0000_s1029" style="position:absolute;left:8413;top:1095;width:34878;height:34877;visibility:visible;mso-wrap-style:square;v-text-anchor:top" coordsize="2197,2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" path="m9,2197l,2193,2188,r9,10l9,2197xe" filled="f" stroked="f">
                      <v:path arrowok="t" o:connecttype="custom" o:connectlocs="14288,3487738;0,3481388;3473450,0;3487738,15875;14288,3487738" o:connectangles="0,0,0,0,0"/>
                    </v:shape>
                    <v:shape id="Forma libre 67" o:spid="_x0000_s1030" style="position:absolute;left:12160;top:4984;width:31131;height:31211;visibility:visible;mso-wrap-style:square;v-text-anchor:top" coordsize="1961,1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" path="m9,1966l,1957,1952,r9,9l9,1966xe" filled="f" stroked="f">
                      <v:path arrowok="t" o:connecttype="custom" o:connectlocs="14288,3121025;0,3106738;3098800,0;3113088,14288;14288,3121025" o:connectangles="0,0,0,0,0"/>
                    </v:shape>
                    <v:shape id="Forma libre 68" o:spid="_x0000_s1031" style="position:absolute;top:1539;width:43291;height:43371;visibility:visible;mso-wrap-style:square;v-text-anchor:top" coordsize="2727,2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" path="m,2732r,-4l2722,r5,5l,2732xe" filled="f" stroked="f">
                      <v:path arrowok="t" o:connecttype="custom" o:connectlocs="0,4337050;0,4330700;4321175,0;4329113,7938;0,4337050" o:connectangles="0,0,0,0,0"/>
                    </v:shape>
                    <w10:wrap anchorx="page" anchory="page"/>
                  </v:group>
                </w:pict>
              </mc:Fallback>
            </mc:AlternateContent>
          </w:r>
          <w:r w:rsidRPr="00AC1506">
            <w:rPr>
              <w:rFonts w:cs="Times New Roman"/>
              <w:noProof/>
              <w:lang w:eastAsia="es-GT"/>
            </w:rPr>
            <mc:AlternateContent>
              <mc:Choice Requires="wps">
                <w:drawing>
                  <wp:anchor distT="0" distB="0" distL="114300" distR="114300" simplePos="0" relativeHeight="251658240" behindDoc="0" locked="0" layoutInCell="1" allowOverlap="1" wp14:anchorId="2C570617" wp14:editId="2191751A">
                    <wp:simplePos x="0" y="0"/>
                    <wp:positionH relativeFrom="page">
                      <wp:align>center</wp:align>
                    </wp:positionH>
                    <wp:positionV relativeFrom="margin">
                      <wp:align>bottom</wp:align>
                    </wp:positionV>
                    <wp:extent cx="5943600" cy="374904"/>
                    <wp:effectExtent l="0" t="0" r="0" b="2540"/>
                    <wp:wrapNone/>
                    <wp:docPr id="69" name="Cuadro de texto 69"/>
                    <wp:cNvGraphicFramePr/>
                    <a:graphic xmlns:a="http://schemas.openxmlformats.org/drawingml/2006/main">
                      <a:graphicData uri="http://schemas.microsoft.com/office/word/2010/wordprocessingShape">
                        <wps:wsp>
                          <wps:cNvSpPr txBox="1"/>
                          <wps:spPr>
                            <a:xfrm>
                              <a:off x="0" y="0"/>
                              <a:ext cx="5943600" cy="37490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13981A5" w14:textId="47703BAC" w:rsidR="000A5B5B" w:rsidRPr="00BF230D" w:rsidRDefault="00E002E7">
                                <w:pPr>
                                  <w:pStyle w:val="Sinespaciado"/>
                                  <w:jc w:val="right"/>
                                  <w:rPr>
                                    <w:rFonts w:ascii="Times New Roman" w:hAnsi="Times New Roman" w:cs="Times New Roman"/>
                                    <w:color w:val="4F81BD" w:themeColor="accent1"/>
                                    <w:sz w:val="36"/>
                                    <w:szCs w:val="36"/>
                                  </w:rPr>
                                </w:pPr>
                                <w:sdt>
                                  <w:sdtPr>
                                    <w:rPr>
                                      <w:rFonts w:ascii="Times New Roman" w:hAnsi="Times New Roman" w:cs="Times New Roman"/>
                                      <w:color w:val="4F81BD" w:themeColor="accent1"/>
                                      <w:sz w:val="36"/>
                                      <w:szCs w:val="36"/>
                                    </w:rPr>
                                    <w:alias w:val="Escolar"/>
                                    <w:tag w:val="Escolar"/>
                                    <w:id w:val="1850680582"/>
                                    <w:dataBinding w:prefixMappings="xmlns:ns0='http://schemas.openxmlformats.org/officeDocument/2006/extended-properties' " w:xpath="/ns0:Properties[1]/ns0:Company[1]" w:storeItemID="{6668398D-A668-4E3E-A5EB-62B293D839F1}"/>
                                    <w:text/>
                                  </w:sdtPr>
                                  <w:sdtEndPr/>
                                  <w:sdtContent>
                                    <w:r w:rsidR="000A5B5B" w:rsidRPr="00BF230D">
                                      <w:rPr>
                                        <w:rFonts w:ascii="Times New Roman" w:hAnsi="Times New Roman" w:cs="Times New Roman"/>
                                        <w:color w:val="4F81BD" w:themeColor="accent1"/>
                                        <w:sz w:val="36"/>
                                        <w:szCs w:val="36"/>
                                      </w:rPr>
                                      <w:t>Dirección de Análisis y Política Fiscal</w:t>
                                    </w:r>
                                  </w:sdtContent>
                                </w:sdt>
                              </w:p>
                              <w:sdt>
                                <w:sdtPr>
                                  <w:rPr>
                                    <w:rFonts w:ascii="Times New Roman" w:hAnsi="Times New Roman" w:cs="Times New Roman"/>
                                    <w:color w:val="4F81BD" w:themeColor="accent1"/>
                                    <w:sz w:val="36"/>
                                    <w:szCs w:val="36"/>
                                  </w:rPr>
                                  <w:alias w:val="Curso"/>
                                  <w:tag w:val="Curso"/>
                                  <w:id w:val="1717703537"/>
                                  <w:dataBinding w:prefixMappings="xmlns:ns0='http://purl.org/dc/elements/1.1/' xmlns:ns1='http://schemas.openxmlformats.org/package/2006/metadata/core-properties' " w:xpath="/ns1:coreProperties[1]/ns1:category[1]" w:storeItemID="{6C3C8BC8-F283-45AE-878A-BAB7291924A1}"/>
                                  <w:text/>
                                </w:sdtPr>
                                <w:sdtEndPr/>
                                <w:sdtContent>
                                  <w:p w14:paraId="162F3E6E" w14:textId="1330AD25" w:rsidR="000A5B5B" w:rsidRPr="00BF230D" w:rsidRDefault="000A5B5B">
                                    <w:pPr>
                                      <w:pStyle w:val="Sinespaciado"/>
                                      <w:jc w:val="right"/>
                                      <w:rPr>
                                        <w:rFonts w:ascii="Times New Roman" w:hAnsi="Times New Roman" w:cs="Times New Roman"/>
                                        <w:color w:val="4F81BD" w:themeColor="accent1"/>
                                        <w:sz w:val="36"/>
                                        <w:szCs w:val="36"/>
                                      </w:rPr>
                                    </w:pPr>
                                    <w:r w:rsidRPr="00BF230D">
                                      <w:rPr>
                                        <w:rFonts w:ascii="Times New Roman" w:hAnsi="Times New Roman" w:cs="Times New Roman"/>
                                        <w:color w:val="4F81BD" w:themeColor="accent1"/>
                                        <w:sz w:val="36"/>
                                        <w:szCs w:val="36"/>
                                      </w:rPr>
                                      <w:t>Ministerio de Finanzas Públicas</w:t>
                                    </w:r>
                                  </w:p>
                                </w:sdtContent>
                              </w:sdt>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page">
                      <wp14:pctWidth>76500</wp14:pctWidth>
                    </wp14:sizeRelH>
                    <wp14:sizeRelV relativeFrom="margin">
                      <wp14:pctHeight>0</wp14:pctHeight>
                    </wp14:sizeRelV>
                  </wp:anchor>
                </w:drawing>
              </mc:Choice>
              <mc:Fallback>
                <w:pict>
                  <v:shape w14:anchorId="2C570617" id="Cuadro de texto 69" o:spid="_x0000_s1027" type="#_x0000_t202" style="position:absolute;left:0;text-align:left;margin-left:0;margin-top:0;width:468pt;height:29.5pt;z-index:251658240;visibility:visible;mso-wrap-style:square;mso-width-percent:765;mso-height-percent:0;mso-wrap-distance-left:9pt;mso-wrap-distance-top:0;mso-wrap-distance-right:9pt;mso-wrap-distance-bottom:0;mso-position-horizontal:center;mso-position-horizontal-relative:page;mso-position-vertical:bottom;mso-position-vertical-relative:margin;mso-width-percent:765;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" filled="f" stroked="f" strokeweight=".5pt">
                    <v:textbox style="mso-fit-shape-to-text:t" inset="0,0,0,0">
                      <w:txbxContent>
                        <w:p w14:paraId="013981A5" w14:textId="47703BAC" w:rsidR="000A5B5B" w:rsidRPr="00BF230D" w:rsidRDefault="00E002E7">
                          <w:pPr>
                            <w:pStyle w:val="Sinespaciado"/>
                            <w:jc w:val="right"/>
                            <w:rPr>
                              <w:rFonts w:ascii="Times New Roman" w:hAnsi="Times New Roman" w:cs="Times New Roman"/>
                              <w:color w:val="4F81BD" w:themeColor="accent1"/>
                              <w:sz w:val="36"/>
                              <w:szCs w:val="36"/>
                            </w:rPr>
                          </w:pPr>
                          <w:sdt>
                            <w:sdtPr>
                              <w:rPr>
                                <w:rFonts w:ascii="Times New Roman" w:hAnsi="Times New Roman" w:cs="Times New Roman"/>
                                <w:color w:val="4F81BD" w:themeColor="accent1"/>
                                <w:sz w:val="36"/>
                                <w:szCs w:val="36"/>
                              </w:rPr>
                              <w:alias w:val="Escolar"/>
                              <w:tag w:val="Escolar"/>
                              <w:id w:val="1850680582"/>
                              <w:dataBinding w:prefixMappings="xmlns:ns0='http://schemas.openxmlformats.org/officeDocument/2006/extended-properties' " w:xpath="/ns0:Properties[1]/ns0:Company[1]" w:storeItemID="{6668398D-A668-4E3E-A5EB-62B293D839F1}"/>
                              <w:text/>
                            </w:sdtPr>
                            <w:sdtEndPr/>
                            <w:sdtContent>
                              <w:r w:rsidR="000A5B5B" w:rsidRPr="00BF230D">
                                <w:rPr>
                                  <w:rFonts w:ascii="Times New Roman" w:hAnsi="Times New Roman" w:cs="Times New Roman"/>
                                  <w:color w:val="4F81BD" w:themeColor="accent1"/>
                                  <w:sz w:val="36"/>
                                  <w:szCs w:val="36"/>
                                </w:rPr>
                                <w:t>Dirección de Análisis y Política Fiscal</w:t>
                              </w:r>
                            </w:sdtContent>
                          </w:sdt>
                        </w:p>
                        <w:sdt>
                          <w:sdtPr>
                            <w:rPr>
                              <w:rFonts w:ascii="Times New Roman" w:hAnsi="Times New Roman" w:cs="Times New Roman"/>
                              <w:color w:val="4F81BD" w:themeColor="accent1"/>
                              <w:sz w:val="36"/>
                              <w:szCs w:val="36"/>
                            </w:rPr>
                            <w:alias w:val="Curso"/>
                            <w:tag w:val="Curso"/>
                            <w:id w:val="1717703537"/>
                            <w:dataBinding w:prefixMappings="xmlns:ns0='http://purl.org/dc/elements/1.1/' xmlns:ns1='http://schemas.openxmlformats.org/package/2006/metadata/core-properties' " w:xpath="/ns1:coreProperties[1]/ns1:category[1]" w:storeItemID="{6C3C8BC8-F283-45AE-878A-BAB7291924A1}"/>
                            <w:text/>
                          </w:sdtPr>
                          <w:sdtEndPr/>
                          <w:sdtContent>
                            <w:p w14:paraId="162F3E6E" w14:textId="1330AD25" w:rsidR="000A5B5B" w:rsidRPr="00BF230D" w:rsidRDefault="000A5B5B">
                              <w:pPr>
                                <w:pStyle w:val="Sinespaciado"/>
                                <w:jc w:val="right"/>
                                <w:rPr>
                                  <w:rFonts w:ascii="Times New Roman" w:hAnsi="Times New Roman" w:cs="Times New Roman"/>
                                  <w:color w:val="4F81BD" w:themeColor="accent1"/>
                                  <w:sz w:val="36"/>
                                  <w:szCs w:val="36"/>
                                </w:rPr>
                              </w:pPr>
                              <w:r w:rsidRPr="00BF230D">
                                <w:rPr>
                                  <w:rFonts w:ascii="Times New Roman" w:hAnsi="Times New Roman" w:cs="Times New Roman"/>
                                  <w:color w:val="4F81BD" w:themeColor="accent1"/>
                                  <w:sz w:val="36"/>
                                  <w:szCs w:val="36"/>
                                </w:rPr>
                                <w:t>Ministerio de Finanzas Públicas</w:t>
                              </w:r>
                            </w:p>
                          </w:sdtContent>
                        </w:sdt>
                      </w:txbxContent>
                    </v:textbox>
                    <w10:wrap anchorx="page" anchory="margin"/>
                  </v:shape>
                </w:pict>
              </mc:Fallback>
            </mc:AlternateContent>
          </w:r>
        </w:p>
        <w:p w14:paraId="583944DB" w14:textId="4FB7B066" w:rsidR="00DB22E2" w:rsidRPr="00AC1506" w:rsidRDefault="009A1471" w:rsidP="00CD34D6">
          <w:pPr>
            <w:spacing w:after="200" w:line="276" w:lineRule="auto"/>
            <w:rPr>
              <w:rFonts w:eastAsiaTheme="majorEastAsia" w:cs="Times New Roman"/>
              <w:b/>
              <w:bCs/>
              <w:color w:val="FF0000"/>
              <w:szCs w:val="26"/>
            </w:rPr>
          </w:pPr>
          <w:r w:rsidRPr="00AC1506">
            <w:rPr>
              <w:rFonts w:eastAsiaTheme="majorEastAsia" w:cs="Times New Roman"/>
              <w:b/>
              <w:bCs/>
              <w:noProof/>
              <w:color w:val="FF0000"/>
              <w:szCs w:val="26"/>
              <w:lang w:eastAsia="es-GT"/>
            </w:rPr>
            <w:drawing>
              <wp:anchor distT="0" distB="0" distL="114300" distR="114300" simplePos="0" relativeHeight="251658243" behindDoc="1" locked="0" layoutInCell="1" allowOverlap="1" wp14:anchorId="405DD89E" wp14:editId="26DDC1D9">
                <wp:simplePos x="0" y="0"/>
                <wp:positionH relativeFrom="margin">
                  <wp:posOffset>1464799</wp:posOffset>
                </wp:positionH>
                <wp:positionV relativeFrom="paragraph">
                  <wp:posOffset>2640917</wp:posOffset>
                </wp:positionV>
                <wp:extent cx="2736653" cy="1242647"/>
                <wp:effectExtent l="0" t="0" r="6985"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36653" cy="1242647"/>
                        </a:xfrm>
                        <a:prstGeom prst="rect">
                          <a:avLst/>
                        </a:prstGeom>
                        <a:noFill/>
                      </pic:spPr>
                    </pic:pic>
                  </a:graphicData>
                </a:graphic>
                <wp14:sizeRelH relativeFrom="margin">
                  <wp14:pctWidth>0</wp14:pctWidth>
                </wp14:sizeRelH>
                <wp14:sizeRelV relativeFrom="margin">
                  <wp14:pctHeight>0</wp14:pctHeight>
                </wp14:sizeRelV>
              </wp:anchor>
            </w:drawing>
          </w:r>
          <w:r w:rsidR="00DB22E2" w:rsidRPr="00AC1506">
            <w:rPr>
              <w:rFonts w:eastAsiaTheme="majorEastAsia" w:cs="Times New Roman"/>
              <w:b/>
              <w:bCs/>
              <w:color w:val="FF0000"/>
              <w:szCs w:val="26"/>
            </w:rPr>
            <w:br w:type="page"/>
          </w:r>
        </w:p>
      </w:sdtContent>
    </w:sdt>
    <w:sdt>
      <w:sdtPr>
        <w:rPr>
          <w:rFonts w:ascii="Times New Roman" w:eastAsiaTheme="minorEastAsia" w:hAnsi="Times New Roman" w:cs="Times New Roman"/>
          <w:b w:val="0"/>
          <w:bCs w:val="0"/>
          <w:color w:val="FF0000"/>
          <w:sz w:val="24"/>
          <w:szCs w:val="24"/>
          <w:lang w:val="es-ES" w:eastAsia="es-ES"/>
        </w:rPr>
        <w:id w:val="-1412613934"/>
        <w:docPartObj>
          <w:docPartGallery w:val="Table of Contents"/>
          <w:docPartUnique/>
        </w:docPartObj>
      </w:sdtPr>
      <w:sdtEndPr>
        <w:rPr>
          <w:sz w:val="22"/>
        </w:rPr>
      </w:sdtEndPr>
      <w:sdtContent>
        <w:p w14:paraId="12B0682B" w14:textId="77777777" w:rsidR="0032588B" w:rsidRPr="00AC1506" w:rsidRDefault="0032588B" w:rsidP="000D58D6">
          <w:pPr>
            <w:pStyle w:val="TtuloTDC"/>
            <w:jc w:val="center"/>
            <w:rPr>
              <w:rFonts w:ascii="Times New Roman" w:hAnsi="Times New Roman" w:cs="Times New Roman"/>
              <w:color w:val="auto"/>
              <w:sz w:val="24"/>
              <w:szCs w:val="24"/>
              <w:lang w:val="es-ES"/>
            </w:rPr>
          </w:pPr>
          <w:r w:rsidRPr="00AC1506">
            <w:rPr>
              <w:rFonts w:ascii="Times New Roman" w:hAnsi="Times New Roman" w:cs="Times New Roman"/>
              <w:color w:val="auto"/>
              <w:sz w:val="24"/>
              <w:szCs w:val="24"/>
              <w:lang w:val="es-ES"/>
            </w:rPr>
            <w:t>Contenido</w:t>
          </w:r>
        </w:p>
        <w:p w14:paraId="1498E71B" w14:textId="77777777" w:rsidR="00F3006C" w:rsidRPr="00AC1506" w:rsidRDefault="00F3006C" w:rsidP="00CD34D6">
          <w:pPr>
            <w:spacing w:line="276" w:lineRule="auto"/>
            <w:rPr>
              <w:rFonts w:cs="Times New Roman"/>
              <w:color w:val="FF0000"/>
              <w:lang w:val="es-ES" w:eastAsia="es-GT"/>
            </w:rPr>
          </w:pPr>
        </w:p>
        <w:p w14:paraId="4CE634A6" w14:textId="2D64C64A" w:rsidR="00E913B5" w:rsidRDefault="0032588B">
          <w:pPr>
            <w:pStyle w:val="TDC1"/>
            <w:rPr>
              <w:rFonts w:asciiTheme="minorHAnsi" w:eastAsiaTheme="minorEastAsia" w:hAnsiTheme="minorHAnsi" w:cstheme="minorBidi"/>
              <w:b w:val="0"/>
              <w:bCs w:val="0"/>
              <w:szCs w:val="22"/>
              <w:lang w:eastAsia="es-GT"/>
            </w:rPr>
          </w:pPr>
          <w:r w:rsidRPr="00AC1506">
            <w:rPr>
              <w:color w:val="FF0000"/>
              <w:lang w:val="es-ES_tradnl"/>
            </w:rPr>
            <w:fldChar w:fldCharType="begin"/>
          </w:r>
          <w:r w:rsidRPr="00AC1506">
            <w:rPr>
              <w:color w:val="FF0000"/>
            </w:rPr>
            <w:instrText xml:space="preserve"> TOC \o "1-3" \h \z \u </w:instrText>
          </w:r>
          <w:r w:rsidRPr="00AC1506">
            <w:rPr>
              <w:color w:val="FF0000"/>
              <w:lang w:val="es-ES_tradnl"/>
            </w:rPr>
            <w:fldChar w:fldCharType="separate"/>
          </w:r>
          <w:hyperlink w:anchor="_Toc83376468" w:history="1">
            <w:r w:rsidR="00E913B5" w:rsidRPr="004F658F">
              <w:rPr>
                <w:rStyle w:val="Hipervnculo"/>
                <w:lang w:val="es-ES_tradnl"/>
              </w:rPr>
              <w:t>Introducción</w:t>
            </w:r>
            <w:r w:rsidR="00E913B5">
              <w:rPr>
                <w:webHidden/>
              </w:rPr>
              <w:tab/>
            </w:r>
            <w:r w:rsidR="00E913B5">
              <w:rPr>
                <w:webHidden/>
              </w:rPr>
              <w:fldChar w:fldCharType="begin"/>
            </w:r>
            <w:r w:rsidR="00E913B5">
              <w:rPr>
                <w:webHidden/>
              </w:rPr>
              <w:instrText xml:space="preserve"> PAGEREF _Toc83376468 \h </w:instrText>
            </w:r>
            <w:r w:rsidR="00E913B5">
              <w:rPr>
                <w:webHidden/>
              </w:rPr>
            </w:r>
            <w:r w:rsidR="00E913B5">
              <w:rPr>
                <w:webHidden/>
              </w:rPr>
              <w:fldChar w:fldCharType="separate"/>
            </w:r>
            <w:r w:rsidR="00645F23">
              <w:rPr>
                <w:webHidden/>
              </w:rPr>
              <w:t>2</w:t>
            </w:r>
            <w:r w:rsidR="00E913B5">
              <w:rPr>
                <w:webHidden/>
              </w:rPr>
              <w:fldChar w:fldCharType="end"/>
            </w:r>
          </w:hyperlink>
        </w:p>
        <w:p w14:paraId="367EB359" w14:textId="3AAEBA23" w:rsidR="00E913B5" w:rsidRDefault="00E913B5">
          <w:pPr>
            <w:pStyle w:val="TDC1"/>
            <w:rPr>
              <w:rFonts w:asciiTheme="minorHAnsi" w:eastAsiaTheme="minorEastAsia" w:hAnsiTheme="minorHAnsi" w:cstheme="minorBidi"/>
              <w:b w:val="0"/>
              <w:bCs w:val="0"/>
              <w:szCs w:val="22"/>
              <w:lang w:eastAsia="es-GT"/>
            </w:rPr>
          </w:pPr>
          <w:hyperlink w:anchor="_Toc83376469" w:history="1">
            <w:r w:rsidRPr="004F658F">
              <w:rPr>
                <w:rStyle w:val="Hipervnculo"/>
                <w:lang w:val="es-ES_tradnl"/>
              </w:rPr>
              <w:t>Cambios Metodológicos 2021</w:t>
            </w:r>
            <w:r>
              <w:rPr>
                <w:webHidden/>
              </w:rPr>
              <w:tab/>
            </w:r>
            <w:r>
              <w:rPr>
                <w:webHidden/>
              </w:rPr>
              <w:fldChar w:fldCharType="begin"/>
            </w:r>
            <w:r>
              <w:rPr>
                <w:webHidden/>
              </w:rPr>
              <w:instrText xml:space="preserve"> PAGEREF _Toc83376469 \h </w:instrText>
            </w:r>
            <w:r>
              <w:rPr>
                <w:webHidden/>
              </w:rPr>
            </w:r>
            <w:r>
              <w:rPr>
                <w:webHidden/>
              </w:rPr>
              <w:fldChar w:fldCharType="separate"/>
            </w:r>
            <w:r w:rsidR="00645F23">
              <w:rPr>
                <w:webHidden/>
              </w:rPr>
              <w:t>2</w:t>
            </w:r>
            <w:r>
              <w:rPr>
                <w:webHidden/>
              </w:rPr>
              <w:fldChar w:fldCharType="end"/>
            </w:r>
          </w:hyperlink>
        </w:p>
        <w:p w14:paraId="35B33E84" w14:textId="7A78FEBB" w:rsidR="00E913B5" w:rsidRDefault="00E913B5">
          <w:pPr>
            <w:pStyle w:val="TDC1"/>
            <w:rPr>
              <w:rFonts w:asciiTheme="minorHAnsi" w:eastAsiaTheme="minorEastAsia" w:hAnsiTheme="minorHAnsi" w:cstheme="minorBidi"/>
              <w:b w:val="0"/>
              <w:bCs w:val="0"/>
              <w:szCs w:val="22"/>
              <w:lang w:eastAsia="es-GT"/>
            </w:rPr>
          </w:pPr>
          <w:hyperlink w:anchor="_Toc83376470" w:history="1">
            <w:r w:rsidRPr="004F658F">
              <w:rPr>
                <w:rStyle w:val="Hipervnculo"/>
                <w:lang w:val="es-ES_tradnl"/>
              </w:rPr>
              <w:t>I.</w:t>
            </w:r>
            <w:r>
              <w:rPr>
                <w:rFonts w:asciiTheme="minorHAnsi" w:eastAsiaTheme="minorEastAsia" w:hAnsiTheme="minorHAnsi" w:cstheme="minorBidi"/>
                <w:b w:val="0"/>
                <w:bCs w:val="0"/>
                <w:szCs w:val="22"/>
                <w:lang w:eastAsia="es-GT"/>
              </w:rPr>
              <w:tab/>
            </w:r>
            <w:r w:rsidRPr="004F658F">
              <w:rPr>
                <w:rStyle w:val="Hipervnculo"/>
                <w:lang w:val="es-ES_tradnl"/>
              </w:rPr>
              <w:t>Ingresos del Gobierno Central Presupuestario</w:t>
            </w:r>
            <w:r>
              <w:rPr>
                <w:webHidden/>
              </w:rPr>
              <w:tab/>
            </w:r>
            <w:r>
              <w:rPr>
                <w:webHidden/>
              </w:rPr>
              <w:fldChar w:fldCharType="begin"/>
            </w:r>
            <w:r>
              <w:rPr>
                <w:webHidden/>
              </w:rPr>
              <w:instrText xml:space="preserve"> PAGEREF _Toc83376470 \h </w:instrText>
            </w:r>
            <w:r>
              <w:rPr>
                <w:webHidden/>
              </w:rPr>
            </w:r>
            <w:r>
              <w:rPr>
                <w:webHidden/>
              </w:rPr>
              <w:fldChar w:fldCharType="separate"/>
            </w:r>
            <w:r w:rsidR="00645F23">
              <w:rPr>
                <w:webHidden/>
              </w:rPr>
              <w:t>2</w:t>
            </w:r>
            <w:r>
              <w:rPr>
                <w:webHidden/>
              </w:rPr>
              <w:fldChar w:fldCharType="end"/>
            </w:r>
          </w:hyperlink>
        </w:p>
        <w:p w14:paraId="387217FC" w14:textId="0BB0CB81" w:rsidR="00E913B5" w:rsidRDefault="00E913B5">
          <w:pPr>
            <w:pStyle w:val="TDC2"/>
            <w:rPr>
              <w:rFonts w:asciiTheme="minorHAnsi" w:hAnsiTheme="minorHAnsi"/>
              <w:noProof/>
              <w:szCs w:val="22"/>
              <w:lang w:eastAsia="es-GT"/>
            </w:rPr>
          </w:pPr>
          <w:hyperlink w:anchor="_Toc83376471" w:history="1">
            <w:r w:rsidRPr="004F658F">
              <w:rPr>
                <w:rStyle w:val="Hipervnculo"/>
                <w:rFonts w:cs="Times New Roman"/>
                <w:noProof/>
              </w:rPr>
              <w:t>1.1</w:t>
            </w:r>
            <w:r>
              <w:rPr>
                <w:rFonts w:asciiTheme="minorHAnsi" w:hAnsiTheme="minorHAnsi"/>
                <w:noProof/>
                <w:szCs w:val="22"/>
                <w:lang w:eastAsia="es-GT"/>
              </w:rPr>
              <w:tab/>
            </w:r>
            <w:r w:rsidRPr="004F658F">
              <w:rPr>
                <w:rStyle w:val="Hipervnculo"/>
                <w:rFonts w:cs="Times New Roman"/>
                <w:noProof/>
              </w:rPr>
              <w:t>Los ingresos totales muestran una mejora respecto a 2020</w:t>
            </w:r>
            <w:r>
              <w:rPr>
                <w:noProof/>
                <w:webHidden/>
              </w:rPr>
              <w:tab/>
            </w:r>
            <w:r>
              <w:rPr>
                <w:noProof/>
                <w:webHidden/>
              </w:rPr>
              <w:fldChar w:fldCharType="begin"/>
            </w:r>
            <w:r>
              <w:rPr>
                <w:noProof/>
                <w:webHidden/>
              </w:rPr>
              <w:instrText xml:space="preserve"> PAGEREF _Toc83376471 \h </w:instrText>
            </w:r>
            <w:r>
              <w:rPr>
                <w:noProof/>
                <w:webHidden/>
              </w:rPr>
            </w:r>
            <w:r>
              <w:rPr>
                <w:noProof/>
                <w:webHidden/>
              </w:rPr>
              <w:fldChar w:fldCharType="separate"/>
            </w:r>
            <w:r w:rsidR="00645F23">
              <w:rPr>
                <w:noProof/>
                <w:webHidden/>
              </w:rPr>
              <w:t>2</w:t>
            </w:r>
            <w:r>
              <w:rPr>
                <w:noProof/>
                <w:webHidden/>
              </w:rPr>
              <w:fldChar w:fldCharType="end"/>
            </w:r>
          </w:hyperlink>
        </w:p>
        <w:p w14:paraId="0C0EE3B6" w14:textId="5F534982" w:rsidR="00E913B5" w:rsidRDefault="00E913B5">
          <w:pPr>
            <w:pStyle w:val="TDC2"/>
            <w:rPr>
              <w:rFonts w:asciiTheme="minorHAnsi" w:hAnsiTheme="minorHAnsi"/>
              <w:noProof/>
              <w:szCs w:val="22"/>
              <w:lang w:eastAsia="es-GT"/>
            </w:rPr>
          </w:pPr>
          <w:hyperlink w:anchor="_Toc83376472" w:history="1">
            <w:r w:rsidRPr="004F658F">
              <w:rPr>
                <w:rStyle w:val="Hipervnculo"/>
                <w:rFonts w:cs="Times New Roman"/>
                <w:noProof/>
              </w:rPr>
              <w:t>1.2</w:t>
            </w:r>
            <w:r>
              <w:rPr>
                <w:rFonts w:asciiTheme="minorHAnsi" w:hAnsiTheme="minorHAnsi"/>
                <w:noProof/>
                <w:szCs w:val="22"/>
                <w:lang w:eastAsia="es-GT"/>
              </w:rPr>
              <w:tab/>
            </w:r>
            <w:r w:rsidRPr="004F658F">
              <w:rPr>
                <w:rStyle w:val="Hipervnculo"/>
                <w:rFonts w:cs="Times New Roman"/>
                <w:noProof/>
              </w:rPr>
              <w:t>Los impuestos continúan con buen dinamismo en el segundo trimestre</w:t>
            </w:r>
            <w:r>
              <w:rPr>
                <w:noProof/>
                <w:webHidden/>
              </w:rPr>
              <w:tab/>
            </w:r>
            <w:r>
              <w:rPr>
                <w:noProof/>
                <w:webHidden/>
              </w:rPr>
              <w:fldChar w:fldCharType="begin"/>
            </w:r>
            <w:r>
              <w:rPr>
                <w:noProof/>
                <w:webHidden/>
              </w:rPr>
              <w:instrText xml:space="preserve"> PAGEREF _Toc83376472 \h </w:instrText>
            </w:r>
            <w:r>
              <w:rPr>
                <w:noProof/>
                <w:webHidden/>
              </w:rPr>
            </w:r>
            <w:r>
              <w:rPr>
                <w:noProof/>
                <w:webHidden/>
              </w:rPr>
              <w:fldChar w:fldCharType="separate"/>
            </w:r>
            <w:r w:rsidR="00645F23">
              <w:rPr>
                <w:noProof/>
                <w:webHidden/>
              </w:rPr>
              <w:t>3</w:t>
            </w:r>
            <w:r>
              <w:rPr>
                <w:noProof/>
                <w:webHidden/>
              </w:rPr>
              <w:fldChar w:fldCharType="end"/>
            </w:r>
          </w:hyperlink>
        </w:p>
        <w:p w14:paraId="32426355" w14:textId="1295433C" w:rsidR="00E913B5" w:rsidRDefault="00E913B5">
          <w:pPr>
            <w:pStyle w:val="TDC1"/>
            <w:rPr>
              <w:rFonts w:asciiTheme="minorHAnsi" w:eastAsiaTheme="minorEastAsia" w:hAnsiTheme="minorHAnsi" w:cstheme="minorBidi"/>
              <w:b w:val="0"/>
              <w:bCs w:val="0"/>
              <w:szCs w:val="22"/>
              <w:lang w:eastAsia="es-GT"/>
            </w:rPr>
          </w:pPr>
          <w:hyperlink w:anchor="_Toc83376476" w:history="1">
            <w:r w:rsidRPr="004F658F">
              <w:rPr>
                <w:rStyle w:val="Hipervnculo"/>
                <w:lang w:val="es-ES_tradnl"/>
              </w:rPr>
              <w:t>II.</w:t>
            </w:r>
            <w:r>
              <w:rPr>
                <w:rFonts w:asciiTheme="minorHAnsi" w:eastAsiaTheme="minorEastAsia" w:hAnsiTheme="minorHAnsi" w:cstheme="minorBidi"/>
                <w:b w:val="0"/>
                <w:bCs w:val="0"/>
                <w:szCs w:val="22"/>
                <w:lang w:eastAsia="es-GT"/>
              </w:rPr>
              <w:tab/>
            </w:r>
            <w:r w:rsidRPr="004F658F">
              <w:rPr>
                <w:rStyle w:val="Hipervnculo"/>
                <w:lang w:val="es-ES_tradnl"/>
              </w:rPr>
              <w:t>Gasto Público del Gobierno Central Presupuestario</w:t>
            </w:r>
            <w:r>
              <w:rPr>
                <w:webHidden/>
              </w:rPr>
              <w:tab/>
            </w:r>
            <w:r>
              <w:rPr>
                <w:webHidden/>
              </w:rPr>
              <w:fldChar w:fldCharType="begin"/>
            </w:r>
            <w:r>
              <w:rPr>
                <w:webHidden/>
              </w:rPr>
              <w:instrText xml:space="preserve"> PAGEREF _Toc83376476 \h </w:instrText>
            </w:r>
            <w:r>
              <w:rPr>
                <w:webHidden/>
              </w:rPr>
            </w:r>
            <w:r>
              <w:rPr>
                <w:webHidden/>
              </w:rPr>
              <w:fldChar w:fldCharType="separate"/>
            </w:r>
            <w:r w:rsidR="00645F23">
              <w:rPr>
                <w:webHidden/>
              </w:rPr>
              <w:t>4</w:t>
            </w:r>
            <w:r>
              <w:rPr>
                <w:webHidden/>
              </w:rPr>
              <w:fldChar w:fldCharType="end"/>
            </w:r>
          </w:hyperlink>
        </w:p>
        <w:p w14:paraId="37E97FC8" w14:textId="707CDBE2" w:rsidR="00E913B5" w:rsidRDefault="00E913B5">
          <w:pPr>
            <w:pStyle w:val="TDC2"/>
            <w:rPr>
              <w:rFonts w:asciiTheme="minorHAnsi" w:hAnsiTheme="minorHAnsi"/>
              <w:noProof/>
              <w:szCs w:val="22"/>
              <w:lang w:eastAsia="es-GT"/>
            </w:rPr>
          </w:pPr>
          <w:hyperlink w:anchor="_Toc83376479" w:history="1">
            <w:r w:rsidRPr="004F658F">
              <w:rPr>
                <w:rStyle w:val="Hipervnculo"/>
                <w:rFonts w:cs="Times New Roman"/>
                <w:noProof/>
              </w:rPr>
              <w:t>2.1</w:t>
            </w:r>
            <w:r>
              <w:rPr>
                <w:rFonts w:asciiTheme="minorHAnsi" w:hAnsiTheme="minorHAnsi"/>
                <w:noProof/>
                <w:szCs w:val="22"/>
                <w:lang w:eastAsia="es-GT"/>
              </w:rPr>
              <w:tab/>
            </w:r>
            <w:r w:rsidRPr="004F658F">
              <w:rPr>
                <w:rStyle w:val="Hipervnculo"/>
                <w:rFonts w:cs="Times New Roman"/>
                <w:noProof/>
              </w:rPr>
              <w:t>Ejecución de gasto público con leve crecimiento</w:t>
            </w:r>
            <w:r>
              <w:rPr>
                <w:noProof/>
                <w:webHidden/>
              </w:rPr>
              <w:tab/>
            </w:r>
            <w:r>
              <w:rPr>
                <w:noProof/>
                <w:webHidden/>
              </w:rPr>
              <w:fldChar w:fldCharType="begin"/>
            </w:r>
            <w:r>
              <w:rPr>
                <w:noProof/>
                <w:webHidden/>
              </w:rPr>
              <w:instrText xml:space="preserve"> PAGEREF _Toc83376479 \h </w:instrText>
            </w:r>
            <w:r>
              <w:rPr>
                <w:noProof/>
                <w:webHidden/>
              </w:rPr>
            </w:r>
            <w:r>
              <w:rPr>
                <w:noProof/>
                <w:webHidden/>
              </w:rPr>
              <w:fldChar w:fldCharType="separate"/>
            </w:r>
            <w:r w:rsidR="00645F23">
              <w:rPr>
                <w:noProof/>
                <w:webHidden/>
              </w:rPr>
              <w:t>4</w:t>
            </w:r>
            <w:r>
              <w:rPr>
                <w:noProof/>
                <w:webHidden/>
              </w:rPr>
              <w:fldChar w:fldCharType="end"/>
            </w:r>
          </w:hyperlink>
        </w:p>
        <w:p w14:paraId="13D7F593" w14:textId="5493948B" w:rsidR="00E913B5" w:rsidRDefault="00E913B5">
          <w:pPr>
            <w:pStyle w:val="TDC1"/>
            <w:rPr>
              <w:rFonts w:asciiTheme="minorHAnsi" w:eastAsiaTheme="minorEastAsia" w:hAnsiTheme="minorHAnsi" w:cstheme="minorBidi"/>
              <w:b w:val="0"/>
              <w:bCs w:val="0"/>
              <w:szCs w:val="22"/>
              <w:lang w:eastAsia="es-GT"/>
            </w:rPr>
          </w:pPr>
          <w:hyperlink w:anchor="_Toc83376480" w:history="1">
            <w:r w:rsidRPr="004F658F">
              <w:rPr>
                <w:rStyle w:val="Hipervnculo"/>
                <w:lang w:val="es-MX"/>
              </w:rPr>
              <w:t>III.</w:t>
            </w:r>
            <w:r>
              <w:rPr>
                <w:rFonts w:asciiTheme="minorHAnsi" w:eastAsiaTheme="minorEastAsia" w:hAnsiTheme="minorHAnsi" w:cstheme="minorBidi"/>
                <w:b w:val="0"/>
                <w:bCs w:val="0"/>
                <w:szCs w:val="22"/>
                <w:lang w:eastAsia="es-GT"/>
              </w:rPr>
              <w:tab/>
            </w:r>
            <w:r w:rsidRPr="004F658F">
              <w:rPr>
                <w:rStyle w:val="Hipervnculo"/>
                <w:lang w:val="es-MX"/>
              </w:rPr>
              <w:t>Transacciones en Activos No Financieros</w:t>
            </w:r>
            <w:r>
              <w:rPr>
                <w:webHidden/>
              </w:rPr>
              <w:tab/>
            </w:r>
            <w:r>
              <w:rPr>
                <w:webHidden/>
              </w:rPr>
              <w:fldChar w:fldCharType="begin"/>
            </w:r>
            <w:r>
              <w:rPr>
                <w:webHidden/>
              </w:rPr>
              <w:instrText xml:space="preserve"> PAGEREF _Toc83376480 \h </w:instrText>
            </w:r>
            <w:r>
              <w:rPr>
                <w:webHidden/>
              </w:rPr>
            </w:r>
            <w:r>
              <w:rPr>
                <w:webHidden/>
              </w:rPr>
              <w:fldChar w:fldCharType="separate"/>
            </w:r>
            <w:r w:rsidR="00645F23">
              <w:rPr>
                <w:webHidden/>
              </w:rPr>
              <w:t>5</w:t>
            </w:r>
            <w:r>
              <w:rPr>
                <w:webHidden/>
              </w:rPr>
              <w:fldChar w:fldCharType="end"/>
            </w:r>
          </w:hyperlink>
        </w:p>
        <w:p w14:paraId="5EF4BAAD" w14:textId="3E27CC0F" w:rsidR="00E913B5" w:rsidRDefault="00E913B5">
          <w:pPr>
            <w:pStyle w:val="TDC2"/>
            <w:rPr>
              <w:rFonts w:asciiTheme="minorHAnsi" w:hAnsiTheme="minorHAnsi"/>
              <w:noProof/>
              <w:szCs w:val="22"/>
              <w:lang w:eastAsia="es-GT"/>
            </w:rPr>
          </w:pPr>
          <w:hyperlink w:anchor="_Toc83376482" w:history="1">
            <w:r w:rsidRPr="004F658F">
              <w:rPr>
                <w:rStyle w:val="Hipervnculo"/>
                <w:rFonts w:cs="Times New Roman"/>
                <w:noProof/>
              </w:rPr>
              <w:t>3.1</w:t>
            </w:r>
            <w:r>
              <w:rPr>
                <w:rFonts w:asciiTheme="minorHAnsi" w:hAnsiTheme="minorHAnsi"/>
                <w:noProof/>
                <w:szCs w:val="22"/>
                <w:lang w:eastAsia="es-GT"/>
              </w:rPr>
              <w:tab/>
            </w:r>
            <w:r w:rsidRPr="004F658F">
              <w:rPr>
                <w:rStyle w:val="Hipervnculo"/>
                <w:rFonts w:cs="Times New Roman"/>
                <w:noProof/>
              </w:rPr>
              <w:t>Aumenta la inversión en activos no financieros</w:t>
            </w:r>
            <w:r>
              <w:rPr>
                <w:noProof/>
                <w:webHidden/>
              </w:rPr>
              <w:tab/>
            </w:r>
            <w:r>
              <w:rPr>
                <w:noProof/>
                <w:webHidden/>
              </w:rPr>
              <w:fldChar w:fldCharType="begin"/>
            </w:r>
            <w:r>
              <w:rPr>
                <w:noProof/>
                <w:webHidden/>
              </w:rPr>
              <w:instrText xml:space="preserve"> PAGEREF _Toc83376482 \h </w:instrText>
            </w:r>
            <w:r>
              <w:rPr>
                <w:noProof/>
                <w:webHidden/>
              </w:rPr>
            </w:r>
            <w:r>
              <w:rPr>
                <w:noProof/>
                <w:webHidden/>
              </w:rPr>
              <w:fldChar w:fldCharType="separate"/>
            </w:r>
            <w:r w:rsidR="00645F23">
              <w:rPr>
                <w:noProof/>
                <w:webHidden/>
              </w:rPr>
              <w:t>5</w:t>
            </w:r>
            <w:r>
              <w:rPr>
                <w:noProof/>
                <w:webHidden/>
              </w:rPr>
              <w:fldChar w:fldCharType="end"/>
            </w:r>
          </w:hyperlink>
        </w:p>
        <w:p w14:paraId="6DAA7A7A" w14:textId="1127DDEB" w:rsidR="00E913B5" w:rsidRDefault="00E913B5">
          <w:pPr>
            <w:pStyle w:val="TDC1"/>
            <w:rPr>
              <w:rFonts w:asciiTheme="minorHAnsi" w:eastAsiaTheme="minorEastAsia" w:hAnsiTheme="minorHAnsi" w:cstheme="minorBidi"/>
              <w:b w:val="0"/>
              <w:bCs w:val="0"/>
              <w:szCs w:val="22"/>
              <w:lang w:eastAsia="es-GT"/>
            </w:rPr>
          </w:pPr>
          <w:hyperlink w:anchor="_Toc83376483" w:history="1">
            <w:r w:rsidRPr="004F658F">
              <w:rPr>
                <w:rStyle w:val="Hipervnculo"/>
                <w:lang w:val="es-MX"/>
              </w:rPr>
              <w:t>IV.</w:t>
            </w:r>
            <w:r>
              <w:rPr>
                <w:rFonts w:asciiTheme="minorHAnsi" w:eastAsiaTheme="minorEastAsia" w:hAnsiTheme="minorHAnsi" w:cstheme="minorBidi"/>
                <w:b w:val="0"/>
                <w:bCs w:val="0"/>
                <w:szCs w:val="22"/>
                <w:lang w:eastAsia="es-GT"/>
              </w:rPr>
              <w:tab/>
            </w:r>
            <w:r w:rsidRPr="004F658F">
              <w:rPr>
                <w:rStyle w:val="Hipervnculo"/>
                <w:lang w:val="es-MX"/>
              </w:rPr>
              <w:t>Financiamiento</w:t>
            </w:r>
            <w:r>
              <w:rPr>
                <w:webHidden/>
              </w:rPr>
              <w:tab/>
            </w:r>
            <w:r>
              <w:rPr>
                <w:webHidden/>
              </w:rPr>
              <w:fldChar w:fldCharType="begin"/>
            </w:r>
            <w:r>
              <w:rPr>
                <w:webHidden/>
              </w:rPr>
              <w:instrText xml:space="preserve"> PAGEREF _Toc83376483 \h </w:instrText>
            </w:r>
            <w:r>
              <w:rPr>
                <w:webHidden/>
              </w:rPr>
            </w:r>
            <w:r>
              <w:rPr>
                <w:webHidden/>
              </w:rPr>
              <w:fldChar w:fldCharType="separate"/>
            </w:r>
            <w:r w:rsidR="00645F23">
              <w:rPr>
                <w:webHidden/>
              </w:rPr>
              <w:t>5</w:t>
            </w:r>
            <w:r>
              <w:rPr>
                <w:webHidden/>
              </w:rPr>
              <w:fldChar w:fldCharType="end"/>
            </w:r>
          </w:hyperlink>
        </w:p>
        <w:p w14:paraId="40298F49" w14:textId="639E484B" w:rsidR="00E913B5" w:rsidRDefault="00E913B5">
          <w:pPr>
            <w:pStyle w:val="TDC2"/>
            <w:rPr>
              <w:rFonts w:asciiTheme="minorHAnsi" w:hAnsiTheme="minorHAnsi"/>
              <w:noProof/>
              <w:szCs w:val="22"/>
              <w:lang w:eastAsia="es-GT"/>
            </w:rPr>
          </w:pPr>
          <w:hyperlink w:anchor="_Toc83376485" w:history="1">
            <w:r w:rsidRPr="004F658F">
              <w:rPr>
                <w:rStyle w:val="Hipervnculo"/>
                <w:rFonts w:cs="Times New Roman"/>
                <w:noProof/>
              </w:rPr>
              <w:t>4.1</w:t>
            </w:r>
            <w:r>
              <w:rPr>
                <w:rFonts w:asciiTheme="minorHAnsi" w:hAnsiTheme="minorHAnsi"/>
                <w:noProof/>
                <w:szCs w:val="22"/>
                <w:lang w:eastAsia="es-GT"/>
              </w:rPr>
              <w:tab/>
            </w:r>
            <w:r w:rsidRPr="004F658F">
              <w:rPr>
                <w:rStyle w:val="Hipervnculo"/>
                <w:rFonts w:cs="Times New Roman"/>
                <w:noProof/>
              </w:rPr>
              <w:t>Disponibilidad de activos financieros</w:t>
            </w:r>
            <w:r>
              <w:rPr>
                <w:noProof/>
                <w:webHidden/>
              </w:rPr>
              <w:tab/>
            </w:r>
            <w:r>
              <w:rPr>
                <w:noProof/>
                <w:webHidden/>
              </w:rPr>
              <w:fldChar w:fldCharType="begin"/>
            </w:r>
            <w:r>
              <w:rPr>
                <w:noProof/>
                <w:webHidden/>
              </w:rPr>
              <w:instrText xml:space="preserve"> PAGEREF _Toc83376485 \h </w:instrText>
            </w:r>
            <w:r>
              <w:rPr>
                <w:noProof/>
                <w:webHidden/>
              </w:rPr>
            </w:r>
            <w:r>
              <w:rPr>
                <w:noProof/>
                <w:webHidden/>
              </w:rPr>
              <w:fldChar w:fldCharType="separate"/>
            </w:r>
            <w:r w:rsidR="00645F23">
              <w:rPr>
                <w:noProof/>
                <w:webHidden/>
              </w:rPr>
              <w:t>5</w:t>
            </w:r>
            <w:r>
              <w:rPr>
                <w:noProof/>
                <w:webHidden/>
              </w:rPr>
              <w:fldChar w:fldCharType="end"/>
            </w:r>
          </w:hyperlink>
        </w:p>
        <w:p w14:paraId="156AABD4" w14:textId="52CB2817" w:rsidR="00E913B5" w:rsidRDefault="00E913B5">
          <w:pPr>
            <w:pStyle w:val="TDC2"/>
            <w:rPr>
              <w:rFonts w:asciiTheme="minorHAnsi" w:hAnsiTheme="minorHAnsi"/>
              <w:noProof/>
              <w:szCs w:val="22"/>
              <w:lang w:eastAsia="es-GT"/>
            </w:rPr>
          </w:pPr>
          <w:hyperlink w:anchor="_Toc83376486" w:history="1">
            <w:r w:rsidRPr="004F658F">
              <w:rPr>
                <w:rStyle w:val="Hipervnculo"/>
                <w:rFonts w:cs="Times New Roman"/>
                <w:noProof/>
              </w:rPr>
              <w:t>4.2</w:t>
            </w:r>
            <w:r>
              <w:rPr>
                <w:rFonts w:asciiTheme="minorHAnsi" w:hAnsiTheme="minorHAnsi"/>
                <w:noProof/>
                <w:szCs w:val="22"/>
                <w:lang w:eastAsia="es-GT"/>
              </w:rPr>
              <w:tab/>
            </w:r>
            <w:r w:rsidRPr="004F658F">
              <w:rPr>
                <w:rStyle w:val="Hipervnculo"/>
                <w:rFonts w:cs="Times New Roman"/>
                <w:noProof/>
              </w:rPr>
              <w:t>Uso de pasivos como fuente de financiamiento</w:t>
            </w:r>
            <w:r>
              <w:rPr>
                <w:noProof/>
                <w:webHidden/>
              </w:rPr>
              <w:tab/>
            </w:r>
            <w:r>
              <w:rPr>
                <w:noProof/>
                <w:webHidden/>
              </w:rPr>
              <w:fldChar w:fldCharType="begin"/>
            </w:r>
            <w:r>
              <w:rPr>
                <w:noProof/>
                <w:webHidden/>
              </w:rPr>
              <w:instrText xml:space="preserve"> PAGEREF _Toc83376486 \h </w:instrText>
            </w:r>
            <w:r>
              <w:rPr>
                <w:noProof/>
                <w:webHidden/>
              </w:rPr>
            </w:r>
            <w:r>
              <w:rPr>
                <w:noProof/>
                <w:webHidden/>
              </w:rPr>
              <w:fldChar w:fldCharType="separate"/>
            </w:r>
            <w:r w:rsidR="00645F23">
              <w:rPr>
                <w:noProof/>
                <w:webHidden/>
              </w:rPr>
              <w:t>6</w:t>
            </w:r>
            <w:r>
              <w:rPr>
                <w:noProof/>
                <w:webHidden/>
              </w:rPr>
              <w:fldChar w:fldCharType="end"/>
            </w:r>
          </w:hyperlink>
        </w:p>
        <w:p w14:paraId="384EA25B" w14:textId="34A52D8E" w:rsidR="00E913B5" w:rsidRDefault="00E913B5">
          <w:pPr>
            <w:pStyle w:val="TDC1"/>
            <w:rPr>
              <w:rFonts w:asciiTheme="minorHAnsi" w:eastAsiaTheme="minorEastAsia" w:hAnsiTheme="minorHAnsi" w:cstheme="minorBidi"/>
              <w:b w:val="0"/>
              <w:bCs w:val="0"/>
              <w:szCs w:val="22"/>
              <w:lang w:eastAsia="es-GT"/>
            </w:rPr>
          </w:pPr>
          <w:hyperlink w:anchor="_Toc83376487" w:history="1">
            <w:r w:rsidRPr="004F658F">
              <w:rPr>
                <w:rStyle w:val="Hipervnculo"/>
                <w:lang w:val="es-ES_tradnl"/>
              </w:rPr>
              <w:t>V.</w:t>
            </w:r>
            <w:r>
              <w:rPr>
                <w:rFonts w:asciiTheme="minorHAnsi" w:eastAsiaTheme="minorEastAsia" w:hAnsiTheme="minorHAnsi" w:cstheme="minorBidi"/>
                <w:b w:val="0"/>
                <w:bCs w:val="0"/>
                <w:szCs w:val="22"/>
                <w:lang w:eastAsia="es-GT"/>
              </w:rPr>
              <w:tab/>
            </w:r>
            <w:r w:rsidRPr="004F658F">
              <w:rPr>
                <w:rStyle w:val="Hipervnculo"/>
                <w:lang w:val="es-ES_tradnl"/>
              </w:rPr>
              <w:t>Erogaciones del Gobierno Central Presupuestario</w:t>
            </w:r>
            <w:r>
              <w:rPr>
                <w:webHidden/>
              </w:rPr>
              <w:tab/>
            </w:r>
            <w:r>
              <w:rPr>
                <w:webHidden/>
              </w:rPr>
              <w:fldChar w:fldCharType="begin"/>
            </w:r>
            <w:r>
              <w:rPr>
                <w:webHidden/>
              </w:rPr>
              <w:instrText xml:space="preserve"> PAGEREF _Toc83376487 \h </w:instrText>
            </w:r>
            <w:r>
              <w:rPr>
                <w:webHidden/>
              </w:rPr>
            </w:r>
            <w:r>
              <w:rPr>
                <w:webHidden/>
              </w:rPr>
              <w:fldChar w:fldCharType="separate"/>
            </w:r>
            <w:r w:rsidR="00645F23">
              <w:rPr>
                <w:webHidden/>
              </w:rPr>
              <w:t>6</w:t>
            </w:r>
            <w:r>
              <w:rPr>
                <w:webHidden/>
              </w:rPr>
              <w:fldChar w:fldCharType="end"/>
            </w:r>
          </w:hyperlink>
        </w:p>
        <w:p w14:paraId="3BB75BB2" w14:textId="636C2C98" w:rsidR="00E913B5" w:rsidRDefault="00E913B5">
          <w:pPr>
            <w:pStyle w:val="TDC2"/>
            <w:rPr>
              <w:rFonts w:asciiTheme="minorHAnsi" w:hAnsiTheme="minorHAnsi"/>
              <w:noProof/>
              <w:szCs w:val="22"/>
              <w:lang w:eastAsia="es-GT"/>
            </w:rPr>
          </w:pPr>
          <w:hyperlink w:anchor="_Toc83376494" w:history="1">
            <w:r w:rsidRPr="004F658F">
              <w:rPr>
                <w:rStyle w:val="Hipervnculo"/>
                <w:rFonts w:cs="Times New Roman"/>
                <w:noProof/>
              </w:rPr>
              <w:t>5.1</w:t>
            </w:r>
            <w:r>
              <w:rPr>
                <w:rFonts w:asciiTheme="minorHAnsi" w:hAnsiTheme="minorHAnsi"/>
                <w:noProof/>
                <w:szCs w:val="22"/>
                <w:lang w:eastAsia="es-GT"/>
              </w:rPr>
              <w:tab/>
            </w:r>
            <w:r w:rsidRPr="004F658F">
              <w:rPr>
                <w:rStyle w:val="Hipervnculo"/>
                <w:rFonts w:cs="Times New Roman"/>
                <w:noProof/>
              </w:rPr>
              <w:t>Erogaciones por Función</w:t>
            </w:r>
            <w:r>
              <w:rPr>
                <w:noProof/>
                <w:webHidden/>
              </w:rPr>
              <w:tab/>
            </w:r>
            <w:r>
              <w:rPr>
                <w:noProof/>
                <w:webHidden/>
              </w:rPr>
              <w:fldChar w:fldCharType="begin"/>
            </w:r>
            <w:r>
              <w:rPr>
                <w:noProof/>
                <w:webHidden/>
              </w:rPr>
              <w:instrText xml:space="preserve"> PAGEREF _Toc83376494 \h </w:instrText>
            </w:r>
            <w:r>
              <w:rPr>
                <w:noProof/>
                <w:webHidden/>
              </w:rPr>
            </w:r>
            <w:r>
              <w:rPr>
                <w:noProof/>
                <w:webHidden/>
              </w:rPr>
              <w:fldChar w:fldCharType="separate"/>
            </w:r>
            <w:r w:rsidR="00645F23">
              <w:rPr>
                <w:noProof/>
                <w:webHidden/>
              </w:rPr>
              <w:t>6</w:t>
            </w:r>
            <w:r>
              <w:rPr>
                <w:noProof/>
                <w:webHidden/>
              </w:rPr>
              <w:fldChar w:fldCharType="end"/>
            </w:r>
          </w:hyperlink>
        </w:p>
        <w:p w14:paraId="04457EF4" w14:textId="03F77B9B" w:rsidR="00E913B5" w:rsidRDefault="00E913B5">
          <w:pPr>
            <w:pStyle w:val="TDC2"/>
            <w:rPr>
              <w:rFonts w:asciiTheme="minorHAnsi" w:hAnsiTheme="minorHAnsi"/>
              <w:noProof/>
              <w:szCs w:val="22"/>
              <w:lang w:eastAsia="es-GT"/>
            </w:rPr>
          </w:pPr>
          <w:hyperlink w:anchor="_Toc83376495" w:history="1">
            <w:r w:rsidRPr="004F658F">
              <w:rPr>
                <w:rStyle w:val="Hipervnculo"/>
                <w:rFonts w:cs="Times New Roman"/>
                <w:noProof/>
              </w:rPr>
              <w:t>5.2</w:t>
            </w:r>
            <w:r>
              <w:rPr>
                <w:rFonts w:asciiTheme="minorHAnsi" w:hAnsiTheme="minorHAnsi"/>
                <w:noProof/>
                <w:szCs w:val="22"/>
                <w:lang w:eastAsia="es-GT"/>
              </w:rPr>
              <w:tab/>
            </w:r>
            <w:r w:rsidRPr="004F658F">
              <w:rPr>
                <w:rStyle w:val="Hipervnculo"/>
                <w:rFonts w:cs="Times New Roman"/>
                <w:noProof/>
              </w:rPr>
              <w:t>Grado de Ejecución Presupuestaria</w:t>
            </w:r>
            <w:r>
              <w:rPr>
                <w:noProof/>
                <w:webHidden/>
              </w:rPr>
              <w:tab/>
            </w:r>
            <w:r>
              <w:rPr>
                <w:noProof/>
                <w:webHidden/>
              </w:rPr>
              <w:fldChar w:fldCharType="begin"/>
            </w:r>
            <w:r>
              <w:rPr>
                <w:noProof/>
                <w:webHidden/>
              </w:rPr>
              <w:instrText xml:space="preserve"> PAGEREF _Toc83376495 \h </w:instrText>
            </w:r>
            <w:r>
              <w:rPr>
                <w:noProof/>
                <w:webHidden/>
              </w:rPr>
            </w:r>
            <w:r>
              <w:rPr>
                <w:noProof/>
                <w:webHidden/>
              </w:rPr>
              <w:fldChar w:fldCharType="separate"/>
            </w:r>
            <w:r w:rsidR="00645F23">
              <w:rPr>
                <w:noProof/>
                <w:webHidden/>
              </w:rPr>
              <w:t>7</w:t>
            </w:r>
            <w:r>
              <w:rPr>
                <w:noProof/>
                <w:webHidden/>
              </w:rPr>
              <w:fldChar w:fldCharType="end"/>
            </w:r>
          </w:hyperlink>
        </w:p>
        <w:p w14:paraId="79240E76" w14:textId="626DF4BF" w:rsidR="00E913B5" w:rsidRDefault="00E913B5">
          <w:pPr>
            <w:pStyle w:val="TDC1"/>
            <w:rPr>
              <w:rFonts w:asciiTheme="minorHAnsi" w:eastAsiaTheme="minorEastAsia" w:hAnsiTheme="minorHAnsi" w:cstheme="minorBidi"/>
              <w:b w:val="0"/>
              <w:bCs w:val="0"/>
              <w:szCs w:val="22"/>
              <w:lang w:eastAsia="es-GT"/>
            </w:rPr>
          </w:pPr>
          <w:hyperlink w:anchor="_Toc83376496" w:history="1">
            <w:r w:rsidRPr="004F658F">
              <w:rPr>
                <w:rStyle w:val="Hipervnculo"/>
                <w:lang w:val="es-MX"/>
              </w:rPr>
              <w:t>VI.</w:t>
            </w:r>
            <w:r>
              <w:rPr>
                <w:rFonts w:asciiTheme="minorHAnsi" w:eastAsiaTheme="minorEastAsia" w:hAnsiTheme="minorHAnsi" w:cstheme="minorBidi"/>
                <w:b w:val="0"/>
                <w:bCs w:val="0"/>
                <w:szCs w:val="22"/>
                <w:lang w:eastAsia="es-GT"/>
              </w:rPr>
              <w:tab/>
            </w:r>
            <w:r w:rsidRPr="004F658F">
              <w:rPr>
                <w:rStyle w:val="Hipervnculo"/>
                <w:lang w:val="es-MX"/>
              </w:rPr>
              <w:t>Resultado Fiscal</w:t>
            </w:r>
            <w:r>
              <w:rPr>
                <w:webHidden/>
              </w:rPr>
              <w:tab/>
            </w:r>
            <w:r>
              <w:rPr>
                <w:webHidden/>
              </w:rPr>
              <w:fldChar w:fldCharType="begin"/>
            </w:r>
            <w:r>
              <w:rPr>
                <w:webHidden/>
              </w:rPr>
              <w:instrText xml:space="preserve"> PAGEREF _Toc83376496 \h </w:instrText>
            </w:r>
            <w:r>
              <w:rPr>
                <w:webHidden/>
              </w:rPr>
            </w:r>
            <w:r>
              <w:rPr>
                <w:webHidden/>
              </w:rPr>
              <w:fldChar w:fldCharType="separate"/>
            </w:r>
            <w:r w:rsidR="00645F23">
              <w:rPr>
                <w:webHidden/>
              </w:rPr>
              <w:t>8</w:t>
            </w:r>
            <w:r>
              <w:rPr>
                <w:webHidden/>
              </w:rPr>
              <w:fldChar w:fldCharType="end"/>
            </w:r>
          </w:hyperlink>
        </w:p>
        <w:p w14:paraId="774BAB11" w14:textId="22670DD0" w:rsidR="00E913B5" w:rsidRDefault="00E913B5">
          <w:pPr>
            <w:pStyle w:val="TDC2"/>
            <w:rPr>
              <w:rFonts w:asciiTheme="minorHAnsi" w:hAnsiTheme="minorHAnsi"/>
              <w:noProof/>
              <w:szCs w:val="22"/>
              <w:lang w:eastAsia="es-GT"/>
            </w:rPr>
          </w:pPr>
          <w:hyperlink w:anchor="_Toc83376498" w:history="1">
            <w:r w:rsidRPr="004F658F">
              <w:rPr>
                <w:rStyle w:val="Hipervnculo"/>
                <w:rFonts w:cs="Times New Roman"/>
                <w:noProof/>
              </w:rPr>
              <w:t>6.1</w:t>
            </w:r>
            <w:r>
              <w:rPr>
                <w:rFonts w:asciiTheme="minorHAnsi" w:hAnsiTheme="minorHAnsi"/>
                <w:noProof/>
                <w:szCs w:val="22"/>
                <w:lang w:eastAsia="es-GT"/>
              </w:rPr>
              <w:tab/>
            </w:r>
            <w:r w:rsidRPr="004F658F">
              <w:rPr>
                <w:rStyle w:val="Hipervnculo"/>
                <w:rFonts w:cs="Times New Roman"/>
                <w:noProof/>
              </w:rPr>
              <w:t>Resultado Operativo Negativo</w:t>
            </w:r>
            <w:r>
              <w:rPr>
                <w:noProof/>
                <w:webHidden/>
              </w:rPr>
              <w:tab/>
            </w:r>
            <w:r>
              <w:rPr>
                <w:noProof/>
                <w:webHidden/>
              </w:rPr>
              <w:fldChar w:fldCharType="begin"/>
            </w:r>
            <w:r>
              <w:rPr>
                <w:noProof/>
                <w:webHidden/>
              </w:rPr>
              <w:instrText xml:space="preserve"> PAGEREF _Toc83376498 \h </w:instrText>
            </w:r>
            <w:r>
              <w:rPr>
                <w:noProof/>
                <w:webHidden/>
              </w:rPr>
            </w:r>
            <w:r>
              <w:rPr>
                <w:noProof/>
                <w:webHidden/>
              </w:rPr>
              <w:fldChar w:fldCharType="separate"/>
            </w:r>
            <w:r w:rsidR="00645F23">
              <w:rPr>
                <w:noProof/>
                <w:webHidden/>
              </w:rPr>
              <w:t>8</w:t>
            </w:r>
            <w:r>
              <w:rPr>
                <w:noProof/>
                <w:webHidden/>
              </w:rPr>
              <w:fldChar w:fldCharType="end"/>
            </w:r>
          </w:hyperlink>
        </w:p>
        <w:p w14:paraId="2CEEA217" w14:textId="4BAB1A7D" w:rsidR="00E913B5" w:rsidRDefault="00E913B5">
          <w:pPr>
            <w:pStyle w:val="TDC2"/>
            <w:rPr>
              <w:rFonts w:asciiTheme="minorHAnsi" w:hAnsiTheme="minorHAnsi"/>
              <w:noProof/>
              <w:szCs w:val="22"/>
              <w:lang w:eastAsia="es-GT"/>
            </w:rPr>
          </w:pPr>
          <w:hyperlink w:anchor="_Toc83376499" w:history="1">
            <w:r w:rsidRPr="004F658F">
              <w:rPr>
                <w:rStyle w:val="Hipervnculo"/>
                <w:rFonts w:cs="Times New Roman"/>
                <w:noProof/>
              </w:rPr>
              <w:t>6.2</w:t>
            </w:r>
            <w:r>
              <w:rPr>
                <w:rFonts w:asciiTheme="minorHAnsi" w:hAnsiTheme="minorHAnsi"/>
                <w:noProof/>
                <w:szCs w:val="22"/>
                <w:lang w:eastAsia="es-GT"/>
              </w:rPr>
              <w:tab/>
            </w:r>
            <w:r w:rsidRPr="004F658F">
              <w:rPr>
                <w:rStyle w:val="Hipervnculo"/>
                <w:rFonts w:cs="Times New Roman"/>
                <w:noProof/>
              </w:rPr>
              <w:t>Endeudamiento (Déficit fiscal) moderado</w:t>
            </w:r>
            <w:r>
              <w:rPr>
                <w:noProof/>
                <w:webHidden/>
              </w:rPr>
              <w:tab/>
            </w:r>
            <w:r>
              <w:rPr>
                <w:noProof/>
                <w:webHidden/>
              </w:rPr>
              <w:fldChar w:fldCharType="begin"/>
            </w:r>
            <w:r>
              <w:rPr>
                <w:noProof/>
                <w:webHidden/>
              </w:rPr>
              <w:instrText xml:space="preserve"> PAGEREF _Toc83376499 \h </w:instrText>
            </w:r>
            <w:r>
              <w:rPr>
                <w:noProof/>
                <w:webHidden/>
              </w:rPr>
            </w:r>
            <w:r>
              <w:rPr>
                <w:noProof/>
                <w:webHidden/>
              </w:rPr>
              <w:fldChar w:fldCharType="separate"/>
            </w:r>
            <w:r w:rsidR="00645F23">
              <w:rPr>
                <w:noProof/>
                <w:webHidden/>
              </w:rPr>
              <w:t>8</w:t>
            </w:r>
            <w:r>
              <w:rPr>
                <w:noProof/>
                <w:webHidden/>
              </w:rPr>
              <w:fldChar w:fldCharType="end"/>
            </w:r>
          </w:hyperlink>
        </w:p>
        <w:p w14:paraId="0DEFDA39" w14:textId="59CD0A05" w:rsidR="0032588B" w:rsidRPr="00AC1506" w:rsidRDefault="0032588B" w:rsidP="00CD34D6">
          <w:pPr>
            <w:spacing w:line="276" w:lineRule="auto"/>
            <w:rPr>
              <w:rFonts w:cs="Times New Roman"/>
              <w:color w:val="FF0000"/>
            </w:rPr>
          </w:pPr>
          <w:r w:rsidRPr="00AC1506">
            <w:rPr>
              <w:rFonts w:cs="Times New Roman"/>
              <w:bCs/>
              <w:color w:val="FF0000"/>
              <w:lang w:val="es-ES"/>
            </w:rPr>
            <w:fldChar w:fldCharType="end"/>
          </w:r>
        </w:p>
      </w:sdtContent>
    </w:sdt>
    <w:p w14:paraId="762B340A" w14:textId="41A25F1E" w:rsidR="0041288C" w:rsidRPr="00AC1506" w:rsidRDefault="0041288C" w:rsidP="00CD34D6">
      <w:pPr>
        <w:spacing w:after="200" w:line="276" w:lineRule="auto"/>
        <w:rPr>
          <w:rFonts w:eastAsiaTheme="majorEastAsia" w:cs="Times New Roman"/>
          <w:b/>
          <w:bCs/>
          <w:szCs w:val="26"/>
        </w:rPr>
      </w:pPr>
      <w:bookmarkStart w:id="3" w:name="_Toc33180541"/>
      <w:r w:rsidRPr="00AC1506">
        <w:rPr>
          <w:rFonts w:eastAsiaTheme="majorEastAsia" w:cs="Times New Roman"/>
          <w:b/>
          <w:bCs/>
          <w:szCs w:val="26"/>
        </w:rPr>
        <w:br w:type="page"/>
      </w:r>
    </w:p>
    <w:p w14:paraId="6C76A338" w14:textId="72E3A05E" w:rsidR="0041288C" w:rsidRDefault="0041288C" w:rsidP="00055D08">
      <w:pPr>
        <w:pStyle w:val="Prrafodelista"/>
        <w:ind w:left="0"/>
        <w:outlineLvl w:val="0"/>
        <w:rPr>
          <w:rFonts w:eastAsiaTheme="majorEastAsia" w:cs="Times New Roman"/>
          <w:b/>
          <w:bCs/>
          <w:sz w:val="24"/>
          <w:szCs w:val="26"/>
          <w:lang w:val="es-ES_tradnl" w:eastAsia="es-ES"/>
        </w:rPr>
      </w:pPr>
      <w:bookmarkStart w:id="4" w:name="_Toc83376468"/>
      <w:r w:rsidRPr="00AC1506">
        <w:rPr>
          <w:rFonts w:eastAsiaTheme="majorEastAsia" w:cs="Times New Roman"/>
          <w:b/>
          <w:bCs/>
          <w:sz w:val="24"/>
          <w:szCs w:val="26"/>
          <w:lang w:val="es-ES_tradnl" w:eastAsia="es-ES"/>
        </w:rPr>
        <w:lastRenderedPageBreak/>
        <w:t>Introducción</w:t>
      </w:r>
      <w:bookmarkEnd w:id="3"/>
      <w:bookmarkEnd w:id="4"/>
    </w:p>
    <w:p w14:paraId="39EBB9E0" w14:textId="01E31233" w:rsidR="00974B8B" w:rsidRPr="00AC1506" w:rsidRDefault="0041288C" w:rsidP="00F55D61">
      <w:pPr>
        <w:rPr>
          <w:lang w:val="es-MX"/>
        </w:rPr>
      </w:pPr>
      <w:r w:rsidRPr="00AC1506">
        <w:rPr>
          <w:lang w:val="es-MX"/>
        </w:rPr>
        <w:t>A continuación, se presenta el Informe</w:t>
      </w:r>
      <w:r w:rsidR="00445193" w:rsidRPr="00AC1506">
        <w:rPr>
          <w:lang w:val="es-MX"/>
        </w:rPr>
        <w:t xml:space="preserve"> </w:t>
      </w:r>
      <w:r w:rsidR="002E2298" w:rsidRPr="00AC1506">
        <w:rPr>
          <w:lang w:val="es-MX"/>
        </w:rPr>
        <w:t xml:space="preserve">del </w:t>
      </w:r>
      <w:r w:rsidR="00F04DD5">
        <w:rPr>
          <w:lang w:val="es-MX"/>
        </w:rPr>
        <w:t>Segundo</w:t>
      </w:r>
      <w:r w:rsidR="002E2298" w:rsidRPr="00AC1506">
        <w:rPr>
          <w:lang w:val="es-MX"/>
        </w:rPr>
        <w:t xml:space="preserve"> </w:t>
      </w:r>
      <w:r w:rsidR="00C923AF">
        <w:rPr>
          <w:lang w:val="es-MX"/>
        </w:rPr>
        <w:t>T</w:t>
      </w:r>
      <w:r w:rsidR="002E2298" w:rsidRPr="00AC1506">
        <w:rPr>
          <w:lang w:val="es-MX"/>
        </w:rPr>
        <w:t>rimestre de 202</w:t>
      </w:r>
      <w:r w:rsidR="00071DD6">
        <w:rPr>
          <w:lang w:val="es-MX"/>
        </w:rPr>
        <w:t>1</w:t>
      </w:r>
      <w:r w:rsidR="002E2298" w:rsidRPr="00AC1506">
        <w:rPr>
          <w:lang w:val="es-MX"/>
        </w:rPr>
        <w:t xml:space="preserve">, </w:t>
      </w:r>
      <w:r w:rsidRPr="00AC1506">
        <w:rPr>
          <w:lang w:val="es-MX"/>
        </w:rPr>
        <w:t>sobre l</w:t>
      </w:r>
      <w:r w:rsidR="00D63046" w:rsidRPr="00AC1506">
        <w:rPr>
          <w:lang w:val="es-MX"/>
        </w:rPr>
        <w:t>a ejecución financiera del gobierno central presupuestario sobre la base de las</w:t>
      </w:r>
      <w:r w:rsidRPr="00AC1506">
        <w:rPr>
          <w:lang w:val="es-MX"/>
        </w:rPr>
        <w:t xml:space="preserve"> Estadísticas de las Finanzas Públicas -EFP- el cual contiene los aspectos más relevantes de la evolución de las variables fiscales</w:t>
      </w:r>
      <w:r w:rsidR="00D63046" w:rsidRPr="00AC1506">
        <w:rPr>
          <w:lang w:val="es-MX"/>
        </w:rPr>
        <w:t>, así como las</w:t>
      </w:r>
      <w:r w:rsidR="00AA5C09" w:rsidRPr="00AC1506">
        <w:rPr>
          <w:lang w:val="es-MX"/>
        </w:rPr>
        <w:t xml:space="preserve"> </w:t>
      </w:r>
      <w:r w:rsidRPr="00AC1506">
        <w:rPr>
          <w:lang w:val="es-MX"/>
        </w:rPr>
        <w:t>principales acciones en materia de ingresos, gasto, transacciones en activos y pasivos y las erogaciones por función del Gobierno</w:t>
      </w:r>
      <w:r w:rsidR="004E3572" w:rsidRPr="00AC1506">
        <w:rPr>
          <w:lang w:val="es-MX"/>
        </w:rPr>
        <w:t xml:space="preserve">. </w:t>
      </w:r>
    </w:p>
    <w:p w14:paraId="670D14B2" w14:textId="77777777" w:rsidR="00974B8B" w:rsidRPr="00AC1506" w:rsidRDefault="00974B8B" w:rsidP="00F55D61">
      <w:pPr>
        <w:rPr>
          <w:lang w:val="es-MX"/>
        </w:rPr>
      </w:pPr>
    </w:p>
    <w:p w14:paraId="18FF9F69" w14:textId="18B6F083" w:rsidR="0041288C" w:rsidRDefault="004E3572" w:rsidP="00F55D61">
      <w:pPr>
        <w:rPr>
          <w:lang w:val="es-MX"/>
        </w:rPr>
      </w:pPr>
      <w:r w:rsidRPr="00AC1506">
        <w:rPr>
          <w:lang w:val="es-MX"/>
        </w:rPr>
        <w:t xml:space="preserve">Cabe mencionar que dicha información utiliza los </w:t>
      </w:r>
      <w:r w:rsidR="005F2296" w:rsidRPr="00AC1506">
        <w:rPr>
          <w:lang w:val="es-MX"/>
        </w:rPr>
        <w:t>estándares internacionales establecidos en el Manual de Estadísticas de las Finanzas Públicas 2014 -MEFP-</w:t>
      </w:r>
      <w:r w:rsidR="00974B8B" w:rsidRPr="00AC1506">
        <w:rPr>
          <w:lang w:val="es-MX"/>
        </w:rPr>
        <w:t xml:space="preserve"> del Fondo Monetario </w:t>
      </w:r>
      <w:r w:rsidR="00F35956" w:rsidRPr="00AC1506">
        <w:rPr>
          <w:lang w:val="es-MX"/>
        </w:rPr>
        <w:t xml:space="preserve">Internacional </w:t>
      </w:r>
      <w:r w:rsidR="0041288C" w:rsidRPr="00AC1506">
        <w:rPr>
          <w:lang w:val="es-MX"/>
        </w:rPr>
        <w:t>-FMI- por lo que existen diferencias en comparación</w:t>
      </w:r>
      <w:r w:rsidR="00774760" w:rsidRPr="00AC1506">
        <w:rPr>
          <w:lang w:val="es-MX"/>
        </w:rPr>
        <w:t xml:space="preserve"> a las cifras que son publicadas </w:t>
      </w:r>
      <w:r w:rsidR="0041288C" w:rsidRPr="00AC1506">
        <w:rPr>
          <w:lang w:val="es-MX"/>
        </w:rPr>
        <w:t>utiliza</w:t>
      </w:r>
      <w:r w:rsidR="00774760" w:rsidRPr="00AC1506">
        <w:rPr>
          <w:lang w:val="es-MX"/>
        </w:rPr>
        <w:t>ndo</w:t>
      </w:r>
      <w:r w:rsidR="0041288C" w:rsidRPr="00AC1506">
        <w:rPr>
          <w:lang w:val="es-MX"/>
        </w:rPr>
        <w:t xml:space="preserve"> la metodología nacional.</w:t>
      </w:r>
      <w:r w:rsidR="00F8714D" w:rsidRPr="00AC1506">
        <w:rPr>
          <w:lang w:val="es-MX"/>
        </w:rPr>
        <w:t xml:space="preserve"> </w:t>
      </w:r>
      <w:r w:rsidR="003D1490" w:rsidRPr="00AC1506">
        <w:rPr>
          <w:lang w:val="es-MX"/>
        </w:rPr>
        <w:t xml:space="preserve">En caso de cualquier </w:t>
      </w:r>
      <w:r w:rsidR="00FA4254">
        <w:rPr>
          <w:lang w:val="es-MX"/>
        </w:rPr>
        <w:t>duda</w:t>
      </w:r>
      <w:r w:rsidR="00E507D9" w:rsidRPr="00AC1506">
        <w:rPr>
          <w:lang w:val="es-MX"/>
        </w:rPr>
        <w:t xml:space="preserve"> sobre estas diferencias</w:t>
      </w:r>
      <w:r w:rsidR="002710C2" w:rsidRPr="00AC1506">
        <w:rPr>
          <w:lang w:val="es-MX"/>
        </w:rPr>
        <w:t xml:space="preserve">, </w:t>
      </w:r>
      <w:r w:rsidR="00723705">
        <w:rPr>
          <w:lang w:val="es-MX"/>
        </w:rPr>
        <w:t xml:space="preserve">se </w:t>
      </w:r>
      <w:r w:rsidR="002710C2" w:rsidRPr="00AC1506">
        <w:rPr>
          <w:lang w:val="es-MX"/>
        </w:rPr>
        <w:t xml:space="preserve">puede consultar los documentos de </w:t>
      </w:r>
      <w:r w:rsidR="00C139AC" w:rsidRPr="00AC1506">
        <w:rPr>
          <w:lang w:val="es-MX"/>
        </w:rPr>
        <w:t>“</w:t>
      </w:r>
      <w:r w:rsidR="002710C2" w:rsidRPr="00AC1506">
        <w:rPr>
          <w:lang w:val="es-MX"/>
        </w:rPr>
        <w:t>Metodología</w:t>
      </w:r>
      <w:r w:rsidR="00C139AC" w:rsidRPr="00AC1506">
        <w:rPr>
          <w:lang w:val="es-MX"/>
        </w:rPr>
        <w:t>”</w:t>
      </w:r>
      <w:r w:rsidR="002710C2" w:rsidRPr="00AC1506">
        <w:rPr>
          <w:lang w:val="es-MX"/>
        </w:rPr>
        <w:t xml:space="preserve"> y de </w:t>
      </w:r>
      <w:r w:rsidR="00C139AC" w:rsidRPr="00AC1506">
        <w:rPr>
          <w:lang w:val="es-MX"/>
        </w:rPr>
        <w:t xml:space="preserve">“Metadatos” </w:t>
      </w:r>
      <w:r w:rsidR="00F42DC5" w:rsidRPr="00AC1506">
        <w:rPr>
          <w:lang w:val="es-MX"/>
        </w:rPr>
        <w:t xml:space="preserve">que se encuentran publicados en </w:t>
      </w:r>
      <w:r w:rsidR="00C923AF">
        <w:rPr>
          <w:lang w:val="es-MX"/>
        </w:rPr>
        <w:t xml:space="preserve">la </w:t>
      </w:r>
      <w:r w:rsidR="00DB2A3F" w:rsidRPr="00AC1506">
        <w:rPr>
          <w:lang w:val="es-MX"/>
        </w:rPr>
        <w:t>página</w:t>
      </w:r>
      <w:r w:rsidR="00F42DC5" w:rsidRPr="00AC1506">
        <w:rPr>
          <w:lang w:val="es-MX"/>
        </w:rPr>
        <w:t xml:space="preserve"> web</w:t>
      </w:r>
      <w:r w:rsidR="00C923AF">
        <w:rPr>
          <w:lang w:val="es-MX"/>
        </w:rPr>
        <w:t xml:space="preserve"> del Ministerio de Finanzas Públicas</w:t>
      </w:r>
      <w:r w:rsidR="00723705">
        <w:rPr>
          <w:lang w:val="es-MX"/>
        </w:rPr>
        <w:t>,</w:t>
      </w:r>
      <w:r w:rsidR="00C923AF">
        <w:rPr>
          <w:lang w:val="es-MX"/>
        </w:rPr>
        <w:t xml:space="preserve"> en la sección de “Estadísticas según Estándares Internacionales”</w:t>
      </w:r>
      <w:r w:rsidR="00F42DC5" w:rsidRPr="00AC1506">
        <w:rPr>
          <w:lang w:val="es-MX"/>
        </w:rPr>
        <w:t>.</w:t>
      </w:r>
    </w:p>
    <w:p w14:paraId="78B6BA97" w14:textId="77777777" w:rsidR="002B762F" w:rsidRDefault="002B762F" w:rsidP="00F55D61">
      <w:pPr>
        <w:rPr>
          <w:lang w:val="es-MX"/>
        </w:rPr>
      </w:pPr>
    </w:p>
    <w:p w14:paraId="6F0369AD" w14:textId="55153078" w:rsidR="002B762F" w:rsidRDefault="002B762F" w:rsidP="002B762F">
      <w:pPr>
        <w:pStyle w:val="Prrafodelista"/>
        <w:ind w:left="0"/>
        <w:outlineLvl w:val="0"/>
        <w:rPr>
          <w:rFonts w:eastAsiaTheme="majorEastAsia" w:cs="Times New Roman"/>
          <w:b/>
          <w:bCs/>
          <w:sz w:val="24"/>
          <w:szCs w:val="26"/>
          <w:lang w:val="es-ES_tradnl" w:eastAsia="es-ES"/>
        </w:rPr>
      </w:pPr>
      <w:bookmarkStart w:id="5" w:name="_Toc83376469"/>
      <w:r>
        <w:rPr>
          <w:rFonts w:eastAsiaTheme="majorEastAsia" w:cs="Times New Roman"/>
          <w:b/>
          <w:bCs/>
          <w:sz w:val="24"/>
          <w:szCs w:val="26"/>
          <w:lang w:val="es-ES_tradnl" w:eastAsia="es-ES"/>
        </w:rPr>
        <w:t>Cambios Metodológicos</w:t>
      </w:r>
      <w:r w:rsidR="003E2DB7">
        <w:rPr>
          <w:rFonts w:eastAsiaTheme="majorEastAsia" w:cs="Times New Roman"/>
          <w:b/>
          <w:bCs/>
          <w:sz w:val="24"/>
          <w:szCs w:val="26"/>
          <w:lang w:val="es-ES_tradnl" w:eastAsia="es-ES"/>
        </w:rPr>
        <w:t xml:space="preserve"> 2021</w:t>
      </w:r>
      <w:bookmarkEnd w:id="5"/>
    </w:p>
    <w:p w14:paraId="37675F4D" w14:textId="71775DE3" w:rsidR="00B616D7" w:rsidRDefault="00A40DB2" w:rsidP="00F55D61">
      <w:pPr>
        <w:rPr>
          <w:lang w:val="es-MX"/>
        </w:rPr>
      </w:pPr>
      <w:r>
        <w:rPr>
          <w:lang w:val="es-MX"/>
        </w:rPr>
        <w:t xml:space="preserve">La implementación de los estándares internacionales </w:t>
      </w:r>
      <w:r w:rsidR="00A85A51">
        <w:rPr>
          <w:lang w:val="es-MX"/>
        </w:rPr>
        <w:t xml:space="preserve">sigue siendo parte de un proceso </w:t>
      </w:r>
      <w:r w:rsidR="006104E2">
        <w:rPr>
          <w:lang w:val="es-MX"/>
        </w:rPr>
        <w:t>que realiza</w:t>
      </w:r>
      <w:r w:rsidR="00320DA0">
        <w:rPr>
          <w:lang w:val="es-MX"/>
        </w:rPr>
        <w:t xml:space="preserve"> el</w:t>
      </w:r>
      <w:r w:rsidR="00661C98">
        <w:rPr>
          <w:lang w:val="es-MX"/>
        </w:rPr>
        <w:t xml:space="preserve"> Ministerio de Finanz</w:t>
      </w:r>
      <w:r w:rsidR="00DD7776">
        <w:rPr>
          <w:lang w:val="es-MX"/>
        </w:rPr>
        <w:t>a Públicas</w:t>
      </w:r>
      <w:r w:rsidR="00845478">
        <w:rPr>
          <w:lang w:val="es-MX"/>
        </w:rPr>
        <w:t xml:space="preserve"> </w:t>
      </w:r>
      <w:r w:rsidR="00320DA0">
        <w:rPr>
          <w:lang w:val="es-MX"/>
        </w:rPr>
        <w:t>con el fin de</w:t>
      </w:r>
      <w:r w:rsidR="00A85A51">
        <w:rPr>
          <w:lang w:val="es-MX"/>
        </w:rPr>
        <w:t xml:space="preserve"> fortalece</w:t>
      </w:r>
      <w:r w:rsidR="005509DA">
        <w:rPr>
          <w:lang w:val="es-MX"/>
        </w:rPr>
        <w:t>r</w:t>
      </w:r>
      <w:r w:rsidR="004E1B43">
        <w:rPr>
          <w:lang w:val="es-MX"/>
        </w:rPr>
        <w:t xml:space="preserve"> las EFP</w:t>
      </w:r>
      <w:r w:rsidR="00845478">
        <w:rPr>
          <w:lang w:val="es-MX"/>
        </w:rPr>
        <w:t xml:space="preserve"> de Guatemala</w:t>
      </w:r>
      <w:r w:rsidR="00430964">
        <w:rPr>
          <w:lang w:val="es-MX"/>
        </w:rPr>
        <w:t xml:space="preserve"> y</w:t>
      </w:r>
      <w:r w:rsidR="007F58FB">
        <w:rPr>
          <w:lang w:val="es-MX"/>
        </w:rPr>
        <w:t>,</w:t>
      </w:r>
      <w:r w:rsidR="00430964">
        <w:rPr>
          <w:lang w:val="es-MX"/>
        </w:rPr>
        <w:t xml:space="preserve"> c</w:t>
      </w:r>
      <w:r w:rsidR="005509DA">
        <w:rPr>
          <w:lang w:val="es-MX"/>
        </w:rPr>
        <w:t>on el apoyo</w:t>
      </w:r>
      <w:r w:rsidR="00320DA0">
        <w:rPr>
          <w:lang w:val="es-MX"/>
        </w:rPr>
        <w:t xml:space="preserve"> y supervisión</w:t>
      </w:r>
      <w:r w:rsidR="005509DA">
        <w:rPr>
          <w:lang w:val="es-MX"/>
        </w:rPr>
        <w:t xml:space="preserve"> del </w:t>
      </w:r>
      <w:r w:rsidR="005509DA" w:rsidRPr="00DD7776">
        <w:rPr>
          <w:lang w:val="es-MX"/>
        </w:rPr>
        <w:t>Centro Regional de Asistencia Técnica del FMI para Centroamérica, Panamá y la República Dominicana (CAPTAC-DR)</w:t>
      </w:r>
      <w:r w:rsidR="005509DA">
        <w:rPr>
          <w:lang w:val="es-MX"/>
        </w:rPr>
        <w:t>,</w:t>
      </w:r>
      <w:r w:rsidR="000369C8">
        <w:rPr>
          <w:lang w:val="es-MX"/>
        </w:rPr>
        <w:t xml:space="preserve"> durante el presente año se llevaron a cabo cambios metodológicos </w:t>
      </w:r>
      <w:r w:rsidR="002B07C9">
        <w:rPr>
          <w:lang w:val="es-MX"/>
        </w:rPr>
        <w:t>para</w:t>
      </w:r>
      <w:r w:rsidR="003D0804">
        <w:rPr>
          <w:lang w:val="es-MX"/>
        </w:rPr>
        <w:t xml:space="preserve"> incorporar </w:t>
      </w:r>
      <w:r w:rsidR="00A91631">
        <w:rPr>
          <w:lang w:val="es-MX"/>
        </w:rPr>
        <w:t xml:space="preserve">algunas </w:t>
      </w:r>
      <w:r w:rsidR="002B07C9">
        <w:rPr>
          <w:lang w:val="es-MX"/>
        </w:rPr>
        <w:t xml:space="preserve">directrices que requieren </w:t>
      </w:r>
      <w:r w:rsidR="00CD28BA">
        <w:rPr>
          <w:lang w:val="es-MX"/>
        </w:rPr>
        <w:t xml:space="preserve">de </w:t>
      </w:r>
      <w:r w:rsidR="006104E2">
        <w:rPr>
          <w:lang w:val="es-MX"/>
        </w:rPr>
        <w:t xml:space="preserve">mayor </w:t>
      </w:r>
      <w:r w:rsidR="00CD28BA">
        <w:rPr>
          <w:lang w:val="es-MX"/>
        </w:rPr>
        <w:t xml:space="preserve">complejidad </w:t>
      </w:r>
      <w:r w:rsidR="002B07C9">
        <w:rPr>
          <w:lang w:val="es-MX"/>
        </w:rPr>
        <w:t>en su implementación</w:t>
      </w:r>
      <w:r w:rsidR="00716880">
        <w:rPr>
          <w:lang w:val="es-MX"/>
        </w:rPr>
        <w:t>,</w:t>
      </w:r>
      <w:r w:rsidR="000D57BA">
        <w:rPr>
          <w:lang w:val="es-MX"/>
        </w:rPr>
        <w:t xml:space="preserve"> por lo que el presente documento </w:t>
      </w:r>
      <w:r w:rsidR="00430964">
        <w:rPr>
          <w:lang w:val="es-MX"/>
        </w:rPr>
        <w:t xml:space="preserve">cuenta con algunas diferencias en las cifras </w:t>
      </w:r>
      <w:r w:rsidR="000865AA">
        <w:rPr>
          <w:lang w:val="es-MX"/>
        </w:rPr>
        <w:t>históricas</w:t>
      </w:r>
      <w:r w:rsidR="00430964">
        <w:rPr>
          <w:lang w:val="es-MX"/>
        </w:rPr>
        <w:t xml:space="preserve"> </w:t>
      </w:r>
      <w:r w:rsidR="00716880">
        <w:rPr>
          <w:lang w:val="es-MX"/>
        </w:rPr>
        <w:t>respecto a</w:t>
      </w:r>
      <w:r w:rsidR="00430964">
        <w:rPr>
          <w:lang w:val="es-MX"/>
        </w:rPr>
        <w:t xml:space="preserve"> los informes trimestrales anteriores.</w:t>
      </w:r>
    </w:p>
    <w:p w14:paraId="6A33B9A1" w14:textId="77777777" w:rsidR="00AB346D" w:rsidRDefault="00AB346D" w:rsidP="00F55D61">
      <w:pPr>
        <w:rPr>
          <w:lang w:val="es-MX"/>
        </w:rPr>
      </w:pPr>
    </w:p>
    <w:p w14:paraId="0E6DD456" w14:textId="5373D9AC" w:rsidR="00AB346D" w:rsidRDefault="00AB346D" w:rsidP="00F55D61">
      <w:pPr>
        <w:rPr>
          <w:lang w:val="es-MX"/>
        </w:rPr>
      </w:pPr>
      <w:r>
        <w:rPr>
          <w:lang w:val="es-MX"/>
        </w:rPr>
        <w:t xml:space="preserve">Para conocer </w:t>
      </w:r>
      <w:r w:rsidR="00A91631">
        <w:rPr>
          <w:lang w:val="es-MX"/>
        </w:rPr>
        <w:t xml:space="preserve">con </w:t>
      </w:r>
      <w:r>
        <w:rPr>
          <w:lang w:val="es-MX"/>
        </w:rPr>
        <w:t xml:space="preserve">mayor detalle estos cambios, </w:t>
      </w:r>
      <w:r w:rsidR="00B61400">
        <w:rPr>
          <w:lang w:val="es-MX"/>
        </w:rPr>
        <w:t xml:space="preserve">puede </w:t>
      </w:r>
      <w:r>
        <w:rPr>
          <w:lang w:val="es-MX"/>
        </w:rPr>
        <w:t xml:space="preserve">consultar el </w:t>
      </w:r>
      <w:r w:rsidR="004B6DA0">
        <w:rPr>
          <w:lang w:val="es-MX"/>
        </w:rPr>
        <w:t xml:space="preserve">documento de </w:t>
      </w:r>
      <w:r w:rsidR="007F58FB">
        <w:rPr>
          <w:lang w:val="es-MX"/>
        </w:rPr>
        <w:t>“M</w:t>
      </w:r>
      <w:r w:rsidR="004B6DA0">
        <w:rPr>
          <w:lang w:val="es-MX"/>
        </w:rPr>
        <w:t>etadatos</w:t>
      </w:r>
      <w:r w:rsidR="007F58FB">
        <w:rPr>
          <w:lang w:val="es-MX"/>
        </w:rPr>
        <w:t>”</w:t>
      </w:r>
      <w:r w:rsidR="004B6DA0">
        <w:rPr>
          <w:lang w:val="es-MX"/>
        </w:rPr>
        <w:t xml:space="preserve"> que se encuentra publicado en la pagina web del Ministerio de Finanza Públicas.</w:t>
      </w:r>
    </w:p>
    <w:p w14:paraId="3E2EFA2F" w14:textId="77777777" w:rsidR="00633683" w:rsidRPr="00193923" w:rsidRDefault="00633683" w:rsidP="00F55D61">
      <w:pPr>
        <w:rPr>
          <w:szCs w:val="22"/>
          <w:lang w:val="es-MX"/>
        </w:rPr>
      </w:pPr>
    </w:p>
    <w:p w14:paraId="5741AEC2" w14:textId="23DE093D" w:rsidR="00E66A98" w:rsidRPr="00AC1506" w:rsidRDefault="00A52F77" w:rsidP="00E66A98">
      <w:pPr>
        <w:pStyle w:val="Prrafodelista"/>
        <w:numPr>
          <w:ilvl w:val="0"/>
          <w:numId w:val="1"/>
        </w:numPr>
        <w:ind w:left="284" w:hanging="284"/>
        <w:outlineLvl w:val="0"/>
        <w:rPr>
          <w:rFonts w:eastAsiaTheme="majorEastAsia" w:cs="Times New Roman"/>
          <w:b/>
          <w:bCs/>
          <w:sz w:val="24"/>
          <w:szCs w:val="26"/>
          <w:lang w:val="es-ES_tradnl" w:eastAsia="es-ES"/>
        </w:rPr>
      </w:pPr>
      <w:bookmarkStart w:id="6" w:name="_Toc83376470"/>
      <w:bookmarkEnd w:id="1"/>
      <w:bookmarkEnd w:id="2"/>
      <w:r w:rsidRPr="00AC1506">
        <w:rPr>
          <w:rFonts w:eastAsiaTheme="majorEastAsia" w:cs="Times New Roman"/>
          <w:b/>
          <w:bCs/>
          <w:sz w:val="24"/>
          <w:szCs w:val="26"/>
          <w:lang w:val="es-ES_tradnl" w:eastAsia="es-ES"/>
        </w:rPr>
        <w:t>Ingresos</w:t>
      </w:r>
      <w:r w:rsidR="00E66A98" w:rsidRPr="00AC1506">
        <w:rPr>
          <w:rFonts w:eastAsiaTheme="majorEastAsia" w:cs="Times New Roman"/>
          <w:b/>
          <w:bCs/>
          <w:sz w:val="24"/>
          <w:szCs w:val="26"/>
          <w:lang w:val="es-ES_tradnl" w:eastAsia="es-ES"/>
        </w:rPr>
        <w:t xml:space="preserve"> </w:t>
      </w:r>
      <w:r w:rsidR="00301F9F" w:rsidRPr="00AC1506">
        <w:rPr>
          <w:rFonts w:eastAsiaTheme="majorEastAsia" w:cs="Times New Roman"/>
          <w:b/>
          <w:bCs/>
          <w:sz w:val="24"/>
          <w:szCs w:val="26"/>
          <w:lang w:val="es-ES_tradnl" w:eastAsia="es-ES"/>
        </w:rPr>
        <w:t>del Gobierno Central Presupuestario</w:t>
      </w:r>
      <w:bookmarkEnd w:id="6"/>
    </w:p>
    <w:p w14:paraId="03BC969A" w14:textId="50FCF76D" w:rsidR="00E66A98" w:rsidRPr="00AC1506" w:rsidRDefault="00DB2C33" w:rsidP="002C3755">
      <w:pPr>
        <w:rPr>
          <w:rFonts w:eastAsiaTheme="majorEastAsia"/>
          <w:lang w:val="es-ES_tradnl"/>
        </w:rPr>
      </w:pPr>
      <w:r w:rsidRPr="00AC1506">
        <w:rPr>
          <w:rFonts w:eastAsiaTheme="majorEastAsia"/>
          <w:noProof/>
          <w:lang w:eastAsia="es-GT"/>
        </w:rPr>
        <w:drawing>
          <wp:inline distT="0" distB="0" distL="0" distR="0" wp14:anchorId="2394B235" wp14:editId="45E3F372">
            <wp:extent cx="5836920" cy="876300"/>
            <wp:effectExtent l="76200" t="38100" r="87630" b="133350"/>
            <wp:docPr id="4" name="Diagrama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bookmarkStart w:id="7" w:name="_Toc471986924"/>
      <w:bookmarkStart w:id="8" w:name="_Toc471987059"/>
      <w:bookmarkStart w:id="9" w:name="_Toc471987107"/>
      <w:bookmarkStart w:id="10" w:name="_Toc471987129"/>
      <w:bookmarkStart w:id="11" w:name="_Toc472082158"/>
      <w:bookmarkStart w:id="12" w:name="_Toc472082190"/>
      <w:bookmarkStart w:id="13" w:name="_Toc472089905"/>
      <w:bookmarkStart w:id="14" w:name="_Toc472089928"/>
      <w:bookmarkStart w:id="15" w:name="_Toc505346056"/>
      <w:bookmarkStart w:id="16" w:name="_Toc505349869"/>
      <w:bookmarkStart w:id="17" w:name="_Toc534985827"/>
      <w:bookmarkStart w:id="18" w:name="_Toc534988220"/>
      <w:bookmarkStart w:id="19" w:name="_Toc31611540"/>
      <w:bookmarkStart w:id="20" w:name="_Toc31612756"/>
      <w:bookmarkStart w:id="21" w:name="_Toc31612788"/>
      <w:bookmarkStart w:id="22" w:name="_Toc31614814"/>
      <w:bookmarkStart w:id="23" w:name="_Toc31614846"/>
      <w:bookmarkStart w:id="24" w:name="_Toc31618683"/>
      <w:bookmarkStart w:id="25" w:name="_Toc31618716"/>
      <w:bookmarkStart w:id="26" w:name="_Toc31624492"/>
      <w:bookmarkStart w:id="27" w:name="_Toc31625344"/>
      <w:bookmarkStart w:id="28" w:name="_Toc31626799"/>
      <w:bookmarkStart w:id="29" w:name="_Toc31811250"/>
      <w:bookmarkStart w:id="30" w:name="_Toc31811695"/>
      <w:bookmarkStart w:id="31" w:name="_Toc31971858"/>
      <w:bookmarkStart w:id="32" w:name="_Toc32230880"/>
      <w:bookmarkStart w:id="33" w:name="_Toc33109779"/>
      <w:bookmarkStart w:id="34" w:name="_Toc33109822"/>
      <w:bookmarkStart w:id="35" w:name="_Toc33180543"/>
      <w:bookmarkStart w:id="36" w:name="_Toc33180637"/>
      <w:bookmarkStart w:id="37" w:name="_Toc33193534"/>
      <w:bookmarkStart w:id="38" w:name="_Toc33193573"/>
      <w:bookmarkStart w:id="39" w:name="_Toc33196770"/>
      <w:bookmarkStart w:id="40" w:name="_Toc40691746"/>
      <w:bookmarkStart w:id="41" w:name="_Toc40959149"/>
      <w:bookmarkStart w:id="42" w:name="_Toc40975983"/>
      <w:bookmarkStart w:id="43" w:name="_Toc40976052"/>
      <w:bookmarkStart w:id="44" w:name="_Toc40993307"/>
      <w:bookmarkStart w:id="45" w:name="_Toc40993689"/>
      <w:bookmarkStart w:id="46" w:name="_Toc41037565"/>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p>
    <w:p w14:paraId="74EA4DCF" w14:textId="0A6C25A2" w:rsidR="00E66A98" w:rsidRPr="00AC1506" w:rsidRDefault="0027445C" w:rsidP="00EB6D9F">
      <w:pPr>
        <w:pStyle w:val="Ttulo2"/>
        <w:numPr>
          <w:ilvl w:val="1"/>
          <w:numId w:val="11"/>
        </w:numPr>
        <w:tabs>
          <w:tab w:val="left" w:pos="426"/>
        </w:tabs>
        <w:spacing w:before="0"/>
        <w:ind w:left="284" w:hanging="284"/>
        <w:rPr>
          <w:rFonts w:ascii="Times New Roman" w:hAnsi="Times New Roman" w:cs="Times New Roman"/>
          <w:color w:val="auto"/>
          <w:sz w:val="24"/>
        </w:rPr>
      </w:pPr>
      <w:bookmarkStart w:id="47" w:name="_Toc83376471"/>
      <w:r w:rsidRPr="00AC1506">
        <w:rPr>
          <w:rFonts w:cs="Times New Roman"/>
          <w:noProof/>
          <w:sz w:val="24"/>
          <w:lang w:eastAsia="es-GT"/>
        </w:rPr>
        <w:drawing>
          <wp:anchor distT="0" distB="0" distL="114300" distR="114300" simplePos="0" relativeHeight="251658245" behindDoc="0" locked="0" layoutInCell="1" allowOverlap="1" wp14:anchorId="0E488811" wp14:editId="571DE7F6">
            <wp:simplePos x="0" y="0"/>
            <wp:positionH relativeFrom="column">
              <wp:posOffset>3239135</wp:posOffset>
            </wp:positionH>
            <wp:positionV relativeFrom="paragraph">
              <wp:posOffset>214630</wp:posOffset>
            </wp:positionV>
            <wp:extent cx="2677795" cy="2685415"/>
            <wp:effectExtent l="0" t="0" r="8255" b="635"/>
            <wp:wrapSquare wrapText="bothSides"/>
            <wp:docPr id="5"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margin">
              <wp14:pctWidth>0</wp14:pctWidth>
            </wp14:sizeRelH>
            <wp14:sizeRelV relativeFrom="margin">
              <wp14:pctHeight>0</wp14:pctHeight>
            </wp14:sizeRelV>
          </wp:anchor>
        </w:drawing>
      </w:r>
      <w:r w:rsidR="00294F15">
        <w:rPr>
          <w:rFonts w:ascii="Times New Roman" w:hAnsi="Times New Roman" w:cs="Times New Roman"/>
          <w:color w:val="auto"/>
          <w:sz w:val="24"/>
        </w:rPr>
        <w:t xml:space="preserve">Los ingresos </w:t>
      </w:r>
      <w:r w:rsidR="00044AF8">
        <w:rPr>
          <w:rFonts w:ascii="Times New Roman" w:hAnsi="Times New Roman" w:cs="Times New Roman"/>
          <w:color w:val="auto"/>
          <w:sz w:val="24"/>
        </w:rPr>
        <w:t xml:space="preserve">totales </w:t>
      </w:r>
      <w:r w:rsidR="00E04151">
        <w:rPr>
          <w:rFonts w:ascii="Times New Roman" w:hAnsi="Times New Roman" w:cs="Times New Roman"/>
          <w:color w:val="auto"/>
          <w:sz w:val="24"/>
        </w:rPr>
        <w:t>muestran una mejor</w:t>
      </w:r>
      <w:r w:rsidR="00962437">
        <w:rPr>
          <w:rFonts w:ascii="Times New Roman" w:hAnsi="Times New Roman" w:cs="Times New Roman"/>
          <w:color w:val="auto"/>
          <w:sz w:val="24"/>
        </w:rPr>
        <w:t>a</w:t>
      </w:r>
      <w:r w:rsidR="00E04151">
        <w:rPr>
          <w:rFonts w:ascii="Times New Roman" w:hAnsi="Times New Roman" w:cs="Times New Roman"/>
          <w:color w:val="auto"/>
          <w:sz w:val="24"/>
        </w:rPr>
        <w:t xml:space="preserve"> respecto</w:t>
      </w:r>
      <w:r w:rsidR="00611855">
        <w:rPr>
          <w:rFonts w:ascii="Times New Roman" w:hAnsi="Times New Roman" w:cs="Times New Roman"/>
          <w:color w:val="auto"/>
          <w:sz w:val="24"/>
        </w:rPr>
        <w:t xml:space="preserve"> a 2020</w:t>
      </w:r>
      <w:bookmarkEnd w:id="47"/>
    </w:p>
    <w:p w14:paraId="34D61FEF" w14:textId="0A2E146D" w:rsidR="00692A00" w:rsidRDefault="007730AD" w:rsidP="00CD34D6">
      <w:pPr>
        <w:rPr>
          <w:rFonts w:cs="Times New Roman"/>
          <w:szCs w:val="22"/>
        </w:rPr>
      </w:pPr>
      <w:r>
        <w:rPr>
          <w:rFonts w:cs="Times New Roman"/>
          <w:szCs w:val="22"/>
        </w:rPr>
        <w:t>En el</w:t>
      </w:r>
      <w:r w:rsidR="00193413">
        <w:rPr>
          <w:rFonts w:cs="Times New Roman"/>
          <w:szCs w:val="22"/>
        </w:rPr>
        <w:t xml:space="preserve"> </w:t>
      </w:r>
      <w:r w:rsidR="00760A76">
        <w:rPr>
          <w:rFonts w:cs="Times New Roman"/>
          <w:szCs w:val="22"/>
        </w:rPr>
        <w:t>segundo</w:t>
      </w:r>
      <w:r w:rsidR="00193413">
        <w:rPr>
          <w:rFonts w:cs="Times New Roman"/>
          <w:szCs w:val="22"/>
        </w:rPr>
        <w:t xml:space="preserve"> trimestre </w:t>
      </w:r>
      <w:r w:rsidR="00962437">
        <w:rPr>
          <w:rFonts w:cs="Times New Roman"/>
          <w:szCs w:val="22"/>
        </w:rPr>
        <w:t>de</w:t>
      </w:r>
      <w:r w:rsidR="00193413">
        <w:rPr>
          <w:rFonts w:cs="Times New Roman"/>
          <w:szCs w:val="22"/>
        </w:rPr>
        <w:t xml:space="preserve"> 2021</w:t>
      </w:r>
      <w:r w:rsidR="001A2E9A">
        <w:rPr>
          <w:rFonts w:cs="Times New Roman"/>
          <w:szCs w:val="22"/>
        </w:rPr>
        <w:t xml:space="preserve"> se </w:t>
      </w:r>
      <w:r w:rsidR="00D91F8D">
        <w:rPr>
          <w:rFonts w:cs="Times New Roman"/>
          <w:szCs w:val="22"/>
        </w:rPr>
        <w:t>continúa</w:t>
      </w:r>
      <w:r w:rsidR="00AF1F85">
        <w:rPr>
          <w:rFonts w:cs="Times New Roman"/>
          <w:szCs w:val="22"/>
        </w:rPr>
        <w:t xml:space="preserve"> </w:t>
      </w:r>
      <w:r w:rsidR="001A2E9A">
        <w:rPr>
          <w:rFonts w:cs="Times New Roman"/>
          <w:szCs w:val="22"/>
        </w:rPr>
        <w:t>observa</w:t>
      </w:r>
      <w:r w:rsidR="00AF1F85">
        <w:rPr>
          <w:rFonts w:cs="Times New Roman"/>
          <w:szCs w:val="22"/>
        </w:rPr>
        <w:t>ndo</w:t>
      </w:r>
      <w:r w:rsidR="001A2E9A">
        <w:rPr>
          <w:rFonts w:cs="Times New Roman"/>
          <w:szCs w:val="22"/>
        </w:rPr>
        <w:t xml:space="preserve"> </w:t>
      </w:r>
      <w:r w:rsidR="001604DC">
        <w:rPr>
          <w:rFonts w:cs="Times New Roman"/>
          <w:szCs w:val="22"/>
        </w:rPr>
        <w:t>resultados</w:t>
      </w:r>
      <w:r w:rsidR="001A2E9A">
        <w:rPr>
          <w:rFonts w:cs="Times New Roman"/>
          <w:szCs w:val="22"/>
        </w:rPr>
        <w:t xml:space="preserve"> positiv</w:t>
      </w:r>
      <w:r w:rsidR="001604DC">
        <w:rPr>
          <w:rFonts w:cs="Times New Roman"/>
          <w:szCs w:val="22"/>
        </w:rPr>
        <w:t>o</w:t>
      </w:r>
      <w:r w:rsidR="001A2E9A">
        <w:rPr>
          <w:rFonts w:cs="Times New Roman"/>
          <w:szCs w:val="22"/>
        </w:rPr>
        <w:t>s</w:t>
      </w:r>
      <w:r w:rsidR="001604DC">
        <w:rPr>
          <w:rFonts w:cs="Times New Roman"/>
          <w:szCs w:val="22"/>
        </w:rPr>
        <w:t xml:space="preserve"> en </w:t>
      </w:r>
      <w:r w:rsidR="00D91F8D">
        <w:rPr>
          <w:rFonts w:cs="Times New Roman"/>
          <w:szCs w:val="22"/>
        </w:rPr>
        <w:t>el comportamiento de los</w:t>
      </w:r>
      <w:r w:rsidR="001604DC">
        <w:rPr>
          <w:rFonts w:cs="Times New Roman"/>
          <w:szCs w:val="22"/>
        </w:rPr>
        <w:t xml:space="preserve"> ingresos totales</w:t>
      </w:r>
      <w:r w:rsidR="00AF1F85">
        <w:rPr>
          <w:rFonts w:cs="Times New Roman"/>
          <w:szCs w:val="22"/>
        </w:rPr>
        <w:t>,</w:t>
      </w:r>
      <w:r w:rsidR="001A2E9A">
        <w:rPr>
          <w:rFonts w:cs="Times New Roman"/>
          <w:szCs w:val="22"/>
        </w:rPr>
        <w:t xml:space="preserve"> </w:t>
      </w:r>
      <w:r w:rsidR="00AF1F85">
        <w:rPr>
          <w:rFonts w:cs="Times New Roman"/>
          <w:szCs w:val="22"/>
        </w:rPr>
        <w:t xml:space="preserve">al mes de junio se registra un </w:t>
      </w:r>
      <w:r w:rsidR="008D1FDF">
        <w:rPr>
          <w:rFonts w:cs="Times New Roman"/>
          <w:szCs w:val="22"/>
        </w:rPr>
        <w:t>total de</w:t>
      </w:r>
      <w:r w:rsidR="001A2E9A">
        <w:rPr>
          <w:rFonts w:cs="Times New Roman"/>
          <w:szCs w:val="22"/>
        </w:rPr>
        <w:t xml:space="preserve"> </w:t>
      </w:r>
      <w:r w:rsidR="00442A6C">
        <w:rPr>
          <w:rFonts w:cs="Times New Roman"/>
          <w:szCs w:val="22"/>
        </w:rPr>
        <w:t>Q</w:t>
      </w:r>
      <w:r w:rsidR="00AF1F85">
        <w:rPr>
          <w:rFonts w:cs="Times New Roman"/>
          <w:szCs w:val="22"/>
        </w:rPr>
        <w:t>38</w:t>
      </w:r>
      <w:r w:rsidR="00442A6C">
        <w:rPr>
          <w:rFonts w:cs="Times New Roman"/>
          <w:szCs w:val="22"/>
        </w:rPr>
        <w:t>,</w:t>
      </w:r>
      <w:r w:rsidR="009673C7">
        <w:rPr>
          <w:rFonts w:cs="Times New Roman"/>
          <w:szCs w:val="22"/>
        </w:rPr>
        <w:t>9</w:t>
      </w:r>
      <w:r w:rsidR="000134F1">
        <w:rPr>
          <w:rFonts w:cs="Times New Roman"/>
          <w:szCs w:val="22"/>
        </w:rPr>
        <w:t>98</w:t>
      </w:r>
      <w:r w:rsidR="009673C7">
        <w:rPr>
          <w:rFonts w:cs="Times New Roman"/>
          <w:szCs w:val="22"/>
        </w:rPr>
        <w:t>.</w:t>
      </w:r>
      <w:r w:rsidR="00692780">
        <w:rPr>
          <w:rFonts w:cs="Times New Roman"/>
          <w:szCs w:val="22"/>
        </w:rPr>
        <w:t>2</w:t>
      </w:r>
      <w:r w:rsidR="00442A6C">
        <w:rPr>
          <w:rFonts w:cs="Times New Roman"/>
          <w:szCs w:val="22"/>
        </w:rPr>
        <w:t xml:space="preserve"> </w:t>
      </w:r>
      <w:r w:rsidR="001604DC">
        <w:rPr>
          <w:rFonts w:cs="Times New Roman"/>
          <w:szCs w:val="22"/>
        </w:rPr>
        <w:t>m</w:t>
      </w:r>
      <w:r w:rsidR="00442A6C">
        <w:rPr>
          <w:rFonts w:cs="Times New Roman"/>
          <w:szCs w:val="22"/>
        </w:rPr>
        <w:t>illones</w:t>
      </w:r>
      <w:r w:rsidR="008D1FDF">
        <w:rPr>
          <w:rFonts w:cs="Times New Roman"/>
          <w:szCs w:val="22"/>
        </w:rPr>
        <w:t xml:space="preserve"> </w:t>
      </w:r>
      <w:r w:rsidR="009673C7">
        <w:rPr>
          <w:rFonts w:cs="Times New Roman"/>
          <w:szCs w:val="22"/>
        </w:rPr>
        <w:t xml:space="preserve">con </w:t>
      </w:r>
      <w:r w:rsidR="006373C5">
        <w:rPr>
          <w:rFonts w:cs="Times New Roman"/>
          <w:szCs w:val="22"/>
        </w:rPr>
        <w:t xml:space="preserve">un crecimiento interanual del </w:t>
      </w:r>
      <w:r w:rsidR="009673C7">
        <w:rPr>
          <w:rFonts w:cs="Times New Roman"/>
          <w:szCs w:val="22"/>
        </w:rPr>
        <w:t>24.</w:t>
      </w:r>
      <w:r w:rsidR="00692780">
        <w:rPr>
          <w:rFonts w:cs="Times New Roman"/>
          <w:szCs w:val="22"/>
        </w:rPr>
        <w:t>5</w:t>
      </w:r>
      <w:r w:rsidR="006373C5">
        <w:rPr>
          <w:rFonts w:cs="Times New Roman"/>
          <w:szCs w:val="22"/>
        </w:rPr>
        <w:t>%</w:t>
      </w:r>
      <w:r w:rsidR="00FC2222">
        <w:rPr>
          <w:rFonts w:cs="Times New Roman"/>
          <w:szCs w:val="22"/>
        </w:rPr>
        <w:t xml:space="preserve"> (</w:t>
      </w:r>
      <w:r w:rsidR="006C209F">
        <w:rPr>
          <w:rFonts w:cs="Times New Roman"/>
          <w:szCs w:val="22"/>
        </w:rPr>
        <w:t>Q</w:t>
      </w:r>
      <w:r w:rsidR="003466CC">
        <w:rPr>
          <w:rFonts w:cs="Times New Roman"/>
          <w:szCs w:val="22"/>
        </w:rPr>
        <w:t>7</w:t>
      </w:r>
      <w:r w:rsidR="006C209F">
        <w:rPr>
          <w:rFonts w:cs="Times New Roman"/>
          <w:szCs w:val="22"/>
        </w:rPr>
        <w:t>,</w:t>
      </w:r>
      <w:r w:rsidR="00692780">
        <w:rPr>
          <w:rFonts w:cs="Times New Roman"/>
          <w:szCs w:val="22"/>
        </w:rPr>
        <w:t>676</w:t>
      </w:r>
      <w:r w:rsidR="006C209F">
        <w:rPr>
          <w:rFonts w:cs="Times New Roman"/>
          <w:szCs w:val="22"/>
        </w:rPr>
        <w:t>.</w:t>
      </w:r>
      <w:r w:rsidR="00692780">
        <w:rPr>
          <w:rFonts w:cs="Times New Roman"/>
          <w:szCs w:val="22"/>
        </w:rPr>
        <w:t>1</w:t>
      </w:r>
      <w:r w:rsidR="006C209F">
        <w:rPr>
          <w:rFonts w:cs="Times New Roman"/>
          <w:szCs w:val="22"/>
        </w:rPr>
        <w:t xml:space="preserve"> millones)</w:t>
      </w:r>
      <w:r w:rsidR="00C30E11">
        <w:rPr>
          <w:rFonts w:cs="Times New Roman"/>
          <w:szCs w:val="22"/>
        </w:rPr>
        <w:t xml:space="preserve">. Cabe mencionar que en 2020 </w:t>
      </w:r>
      <w:r w:rsidR="009111EB">
        <w:rPr>
          <w:rFonts w:cs="Times New Roman"/>
          <w:szCs w:val="22"/>
        </w:rPr>
        <w:t xml:space="preserve">los ingresos totales tuvieron una variación interanual negativa </w:t>
      </w:r>
      <w:r w:rsidR="00DC51A3">
        <w:rPr>
          <w:rFonts w:cs="Times New Roman"/>
          <w:szCs w:val="22"/>
        </w:rPr>
        <w:t xml:space="preserve">al segundo trimestre </w:t>
      </w:r>
      <w:r w:rsidR="009111EB">
        <w:rPr>
          <w:rFonts w:cs="Times New Roman"/>
          <w:szCs w:val="22"/>
        </w:rPr>
        <w:t>por 5.1%</w:t>
      </w:r>
      <w:r w:rsidR="001016EC">
        <w:rPr>
          <w:rFonts w:cs="Times New Roman"/>
          <w:szCs w:val="22"/>
        </w:rPr>
        <w:t xml:space="preserve"> derivado a </w:t>
      </w:r>
      <w:r w:rsidR="008B4956">
        <w:rPr>
          <w:rFonts w:cs="Times New Roman"/>
          <w:szCs w:val="22"/>
        </w:rPr>
        <w:t>l</w:t>
      </w:r>
      <w:r w:rsidR="001016EC">
        <w:rPr>
          <w:rFonts w:cs="Times New Roman"/>
          <w:szCs w:val="22"/>
        </w:rPr>
        <w:t>os efectos de la</w:t>
      </w:r>
      <w:r w:rsidR="008B4956">
        <w:rPr>
          <w:rFonts w:cs="Times New Roman"/>
          <w:szCs w:val="22"/>
        </w:rPr>
        <w:t xml:space="preserve"> Pandemia del Covid-19</w:t>
      </w:r>
      <w:r w:rsidR="006373C5">
        <w:rPr>
          <w:rFonts w:cs="Times New Roman"/>
          <w:szCs w:val="22"/>
        </w:rPr>
        <w:t>.</w:t>
      </w:r>
      <w:r w:rsidR="005B1D23">
        <w:rPr>
          <w:rFonts w:cs="Times New Roman"/>
          <w:szCs w:val="22"/>
        </w:rPr>
        <w:t xml:space="preserve"> </w:t>
      </w:r>
    </w:p>
    <w:p w14:paraId="6459C3BA" w14:textId="77777777" w:rsidR="00692A00" w:rsidRDefault="00692A00" w:rsidP="00CD34D6">
      <w:pPr>
        <w:rPr>
          <w:rFonts w:cs="Times New Roman"/>
          <w:szCs w:val="22"/>
        </w:rPr>
      </w:pPr>
    </w:p>
    <w:p w14:paraId="0D863396" w14:textId="3CE3DCD8" w:rsidR="00A05973" w:rsidRDefault="000A5922" w:rsidP="00CD34D6">
      <w:pPr>
        <w:rPr>
          <w:rFonts w:cs="Times New Roman"/>
          <w:szCs w:val="22"/>
        </w:rPr>
      </w:pPr>
      <w:r>
        <w:rPr>
          <w:rFonts w:cs="Times New Roman"/>
          <w:szCs w:val="22"/>
        </w:rPr>
        <w:t xml:space="preserve">Los </w:t>
      </w:r>
      <w:r w:rsidR="00FE3E59">
        <w:rPr>
          <w:rFonts w:cs="Times New Roman"/>
          <w:szCs w:val="22"/>
        </w:rPr>
        <w:t xml:space="preserve">ingresos </w:t>
      </w:r>
      <w:r>
        <w:rPr>
          <w:rFonts w:cs="Times New Roman"/>
          <w:szCs w:val="22"/>
        </w:rPr>
        <w:t xml:space="preserve">por impuestos han sido </w:t>
      </w:r>
      <w:r w:rsidR="00352045">
        <w:rPr>
          <w:rFonts w:cs="Times New Roman"/>
          <w:szCs w:val="22"/>
        </w:rPr>
        <w:t>l</w:t>
      </w:r>
      <w:r w:rsidR="00F667F1">
        <w:rPr>
          <w:rFonts w:cs="Times New Roman"/>
          <w:szCs w:val="22"/>
        </w:rPr>
        <w:t xml:space="preserve">os que </w:t>
      </w:r>
      <w:r w:rsidR="00CC611B">
        <w:rPr>
          <w:rFonts w:cs="Times New Roman"/>
          <w:szCs w:val="22"/>
        </w:rPr>
        <w:t>más</w:t>
      </w:r>
      <w:r w:rsidR="00F667F1">
        <w:rPr>
          <w:rFonts w:cs="Times New Roman"/>
          <w:szCs w:val="22"/>
        </w:rPr>
        <w:t xml:space="preserve"> han contribuido a</w:t>
      </w:r>
      <w:r w:rsidR="00352045">
        <w:rPr>
          <w:rFonts w:cs="Times New Roman"/>
          <w:szCs w:val="22"/>
        </w:rPr>
        <w:t>l buen rendimiento</w:t>
      </w:r>
      <w:r w:rsidR="00F667F1">
        <w:rPr>
          <w:rFonts w:cs="Times New Roman"/>
          <w:szCs w:val="22"/>
        </w:rPr>
        <w:t xml:space="preserve"> de los ingresos totales,</w:t>
      </w:r>
      <w:r w:rsidR="00352045">
        <w:rPr>
          <w:rFonts w:cs="Times New Roman"/>
          <w:szCs w:val="22"/>
        </w:rPr>
        <w:t xml:space="preserve"> </w:t>
      </w:r>
      <w:r w:rsidR="00F667F1">
        <w:rPr>
          <w:rFonts w:cs="Times New Roman"/>
          <w:szCs w:val="22"/>
        </w:rPr>
        <w:t xml:space="preserve">teniendo </w:t>
      </w:r>
      <w:r w:rsidR="004A0A73">
        <w:rPr>
          <w:rFonts w:cs="Times New Roman"/>
          <w:szCs w:val="22"/>
        </w:rPr>
        <w:t xml:space="preserve">un incremento interanual acumulado del </w:t>
      </w:r>
      <w:r w:rsidR="00B813BB">
        <w:rPr>
          <w:rFonts w:cs="Times New Roman"/>
          <w:szCs w:val="22"/>
        </w:rPr>
        <w:t>26</w:t>
      </w:r>
      <w:r w:rsidR="004A0A73">
        <w:rPr>
          <w:rFonts w:cs="Times New Roman"/>
          <w:szCs w:val="22"/>
        </w:rPr>
        <w:t>.</w:t>
      </w:r>
      <w:r w:rsidR="00FA0C47">
        <w:rPr>
          <w:rFonts w:cs="Times New Roman"/>
          <w:szCs w:val="22"/>
        </w:rPr>
        <w:t>4</w:t>
      </w:r>
      <w:r w:rsidR="004A0A73">
        <w:rPr>
          <w:rFonts w:cs="Times New Roman"/>
          <w:szCs w:val="22"/>
        </w:rPr>
        <w:t>% (</w:t>
      </w:r>
      <w:r w:rsidR="00E71063">
        <w:rPr>
          <w:rFonts w:cs="Times New Roman"/>
          <w:szCs w:val="22"/>
        </w:rPr>
        <w:t>Q</w:t>
      </w:r>
      <w:r w:rsidR="00FA0C47">
        <w:rPr>
          <w:rFonts w:cs="Times New Roman"/>
          <w:szCs w:val="22"/>
        </w:rPr>
        <w:t>7</w:t>
      </w:r>
      <w:r w:rsidR="00E71063">
        <w:rPr>
          <w:rFonts w:cs="Times New Roman"/>
          <w:szCs w:val="22"/>
        </w:rPr>
        <w:t>,</w:t>
      </w:r>
      <w:r w:rsidR="00FA0C47">
        <w:rPr>
          <w:rFonts w:cs="Times New Roman"/>
          <w:szCs w:val="22"/>
        </w:rPr>
        <w:t>433</w:t>
      </w:r>
      <w:r w:rsidR="00E71063">
        <w:rPr>
          <w:rFonts w:cs="Times New Roman"/>
          <w:szCs w:val="22"/>
        </w:rPr>
        <w:t>.</w:t>
      </w:r>
      <w:r w:rsidR="00781422">
        <w:rPr>
          <w:rFonts w:cs="Times New Roman"/>
          <w:szCs w:val="22"/>
        </w:rPr>
        <w:t>4</w:t>
      </w:r>
      <w:r w:rsidR="00E71063">
        <w:rPr>
          <w:rFonts w:cs="Times New Roman"/>
          <w:szCs w:val="22"/>
        </w:rPr>
        <w:t xml:space="preserve"> millones) </w:t>
      </w:r>
      <w:r w:rsidR="00E71063" w:rsidRPr="004451B4">
        <w:rPr>
          <w:rFonts w:cs="Times New Roman"/>
          <w:szCs w:val="22"/>
        </w:rPr>
        <w:t>seguido</w:t>
      </w:r>
      <w:r w:rsidR="008944F2" w:rsidRPr="004451B4">
        <w:rPr>
          <w:rFonts w:cs="Times New Roman"/>
          <w:szCs w:val="22"/>
        </w:rPr>
        <w:t xml:space="preserve"> de</w:t>
      </w:r>
      <w:r w:rsidR="00781422" w:rsidRPr="00781422">
        <w:rPr>
          <w:rFonts w:cs="Times New Roman"/>
          <w:szCs w:val="22"/>
        </w:rPr>
        <w:t xml:space="preserve"> </w:t>
      </w:r>
      <w:r w:rsidR="002D4A5A">
        <w:rPr>
          <w:rFonts w:cs="Times New Roman"/>
          <w:szCs w:val="22"/>
        </w:rPr>
        <w:t xml:space="preserve">la categoría de otros ingresos </w:t>
      </w:r>
      <w:r w:rsidR="002A6112">
        <w:rPr>
          <w:rFonts w:cs="Times New Roman"/>
          <w:szCs w:val="22"/>
        </w:rPr>
        <w:t>con</w:t>
      </w:r>
      <w:r w:rsidR="002D4A5A">
        <w:rPr>
          <w:rFonts w:cs="Times New Roman"/>
          <w:szCs w:val="22"/>
        </w:rPr>
        <w:t xml:space="preserve"> una variación de</w:t>
      </w:r>
      <w:r w:rsidR="002A6112">
        <w:rPr>
          <w:rFonts w:cs="Times New Roman"/>
          <w:szCs w:val="22"/>
        </w:rPr>
        <w:t>l</w:t>
      </w:r>
      <w:r w:rsidR="002D4A5A">
        <w:rPr>
          <w:rFonts w:cs="Times New Roman"/>
          <w:szCs w:val="22"/>
        </w:rPr>
        <w:t xml:space="preserve"> 12.0% (Q104.1 millones) </w:t>
      </w:r>
      <w:r w:rsidR="00781422" w:rsidRPr="004451B4">
        <w:rPr>
          <w:rFonts w:cs="Times New Roman"/>
          <w:szCs w:val="22"/>
        </w:rPr>
        <w:t xml:space="preserve">las contribuciones sociales </w:t>
      </w:r>
      <w:r w:rsidR="00781422">
        <w:rPr>
          <w:rFonts w:cs="Times New Roman"/>
          <w:szCs w:val="22"/>
        </w:rPr>
        <w:t>del</w:t>
      </w:r>
      <w:r w:rsidR="00781422" w:rsidRPr="004451B4">
        <w:rPr>
          <w:rFonts w:cs="Times New Roman"/>
          <w:szCs w:val="22"/>
        </w:rPr>
        <w:t xml:space="preserve"> 3.6% (Q</w:t>
      </w:r>
      <w:r w:rsidR="0066598D">
        <w:rPr>
          <w:rFonts w:cs="Times New Roman"/>
          <w:szCs w:val="22"/>
        </w:rPr>
        <w:t>80</w:t>
      </w:r>
      <w:r w:rsidR="00781422" w:rsidRPr="004451B4">
        <w:rPr>
          <w:rFonts w:cs="Times New Roman"/>
          <w:szCs w:val="22"/>
        </w:rPr>
        <w:t>.</w:t>
      </w:r>
      <w:r w:rsidR="0066598D">
        <w:rPr>
          <w:rFonts w:cs="Times New Roman"/>
          <w:szCs w:val="22"/>
        </w:rPr>
        <w:t>1</w:t>
      </w:r>
      <w:r w:rsidR="00781422" w:rsidRPr="004451B4">
        <w:rPr>
          <w:rFonts w:cs="Times New Roman"/>
          <w:szCs w:val="22"/>
        </w:rPr>
        <w:t xml:space="preserve"> millones)</w:t>
      </w:r>
      <w:r w:rsidR="00BC6F93">
        <w:rPr>
          <w:rFonts w:cs="Times New Roman"/>
          <w:szCs w:val="22"/>
        </w:rPr>
        <w:t xml:space="preserve"> y así mismo</w:t>
      </w:r>
      <w:r w:rsidR="0066598D">
        <w:rPr>
          <w:rFonts w:cs="Times New Roman"/>
          <w:szCs w:val="22"/>
        </w:rPr>
        <w:t xml:space="preserve"> l</w:t>
      </w:r>
      <w:r w:rsidR="008944F2" w:rsidRPr="004451B4">
        <w:rPr>
          <w:rFonts w:cs="Times New Roman"/>
          <w:szCs w:val="22"/>
        </w:rPr>
        <w:t>as donaciones</w:t>
      </w:r>
      <w:r w:rsidR="00D9288A" w:rsidRPr="004451B4">
        <w:rPr>
          <w:rFonts w:cs="Times New Roman"/>
          <w:szCs w:val="22"/>
        </w:rPr>
        <w:t xml:space="preserve"> con un </w:t>
      </w:r>
      <w:r w:rsidR="005B07C9">
        <w:rPr>
          <w:rFonts w:cs="Times New Roman"/>
          <w:szCs w:val="22"/>
        </w:rPr>
        <w:t>333</w:t>
      </w:r>
      <w:r w:rsidR="00D9288A" w:rsidRPr="004451B4">
        <w:rPr>
          <w:rFonts w:cs="Times New Roman"/>
          <w:szCs w:val="22"/>
        </w:rPr>
        <w:t>.</w:t>
      </w:r>
      <w:r w:rsidR="005B07C9">
        <w:rPr>
          <w:rFonts w:cs="Times New Roman"/>
          <w:szCs w:val="22"/>
        </w:rPr>
        <w:t>6</w:t>
      </w:r>
      <w:r w:rsidR="00D9288A" w:rsidRPr="004451B4">
        <w:rPr>
          <w:rFonts w:cs="Times New Roman"/>
          <w:szCs w:val="22"/>
        </w:rPr>
        <w:t>% (Q</w:t>
      </w:r>
      <w:r w:rsidR="005B07C9">
        <w:rPr>
          <w:rFonts w:cs="Times New Roman"/>
          <w:szCs w:val="22"/>
        </w:rPr>
        <w:t>58.5</w:t>
      </w:r>
      <w:r w:rsidR="00D9288A" w:rsidRPr="004451B4">
        <w:rPr>
          <w:rFonts w:cs="Times New Roman"/>
          <w:szCs w:val="22"/>
        </w:rPr>
        <w:t xml:space="preserve"> millones)</w:t>
      </w:r>
      <w:r w:rsidR="00E20F42">
        <w:rPr>
          <w:rFonts w:cs="Times New Roman"/>
          <w:szCs w:val="22"/>
        </w:rPr>
        <w:t>.</w:t>
      </w:r>
    </w:p>
    <w:p w14:paraId="59B0B052" w14:textId="52900F6E" w:rsidR="001023B3" w:rsidRPr="00AC1506" w:rsidRDefault="009964BB" w:rsidP="001023B3">
      <w:pPr>
        <w:jc w:val="left"/>
      </w:pPr>
      <w:r w:rsidRPr="00AC1506">
        <w:rPr>
          <w:noProof/>
          <w:lang w:eastAsia="es-GT"/>
        </w:rPr>
        <w:lastRenderedPageBreak/>
        <w:drawing>
          <wp:inline distT="0" distB="0" distL="0" distR="0" wp14:anchorId="7BACCC78" wp14:editId="7AAD79CE">
            <wp:extent cx="5971540" cy="1525803"/>
            <wp:effectExtent l="0" t="0" r="0" b="0"/>
            <wp:docPr id="6" name="Grá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6DE52AD4" w14:textId="77777777" w:rsidR="001E4C34" w:rsidRPr="00AC1506" w:rsidRDefault="001E4C34" w:rsidP="001E4C34">
      <w:pPr>
        <w:pStyle w:val="Prrafodelista"/>
        <w:ind w:left="0"/>
        <w:jc w:val="left"/>
      </w:pPr>
      <w:r w:rsidRPr="00AC1506">
        <w:t>*Cifras preliminares</w:t>
      </w:r>
    </w:p>
    <w:p w14:paraId="0BA8FB15" w14:textId="77777777" w:rsidR="001E4C34" w:rsidRPr="00AC1506" w:rsidRDefault="001E4C34" w:rsidP="001E4C34">
      <w:pPr>
        <w:pStyle w:val="Prrafodelista"/>
        <w:ind w:left="0"/>
        <w:jc w:val="left"/>
      </w:pPr>
      <w:r w:rsidRPr="00AC1506">
        <w:t xml:space="preserve"> Fuente: MINFIN</w:t>
      </w:r>
    </w:p>
    <w:p w14:paraId="781661F0" w14:textId="77777777" w:rsidR="00EA6C6E" w:rsidRPr="00AC1506" w:rsidRDefault="00EA6C6E" w:rsidP="00EC1BCA">
      <w:pPr>
        <w:pStyle w:val="Prrafodelista"/>
        <w:jc w:val="left"/>
      </w:pPr>
    </w:p>
    <w:p w14:paraId="2AF07344" w14:textId="7CE6B930" w:rsidR="00E66A98" w:rsidRPr="00AC1506" w:rsidRDefault="0027790A" w:rsidP="00EB6D9F">
      <w:pPr>
        <w:pStyle w:val="Ttulo2"/>
        <w:numPr>
          <w:ilvl w:val="1"/>
          <w:numId w:val="11"/>
        </w:numPr>
        <w:tabs>
          <w:tab w:val="left" w:pos="426"/>
        </w:tabs>
        <w:spacing w:before="0"/>
        <w:ind w:left="284" w:hanging="284"/>
        <w:rPr>
          <w:rFonts w:ascii="Times New Roman" w:hAnsi="Times New Roman" w:cs="Times New Roman"/>
          <w:color w:val="auto"/>
          <w:sz w:val="24"/>
        </w:rPr>
      </w:pPr>
      <w:bookmarkStart w:id="48" w:name="_Toc83376472"/>
      <w:r>
        <w:rPr>
          <w:rFonts w:ascii="Times New Roman" w:hAnsi="Times New Roman" w:cs="Times New Roman"/>
          <w:color w:val="auto"/>
          <w:sz w:val="24"/>
        </w:rPr>
        <w:t xml:space="preserve">Los </w:t>
      </w:r>
      <w:r w:rsidR="00962437">
        <w:rPr>
          <w:rFonts w:ascii="Times New Roman" w:hAnsi="Times New Roman" w:cs="Times New Roman"/>
          <w:color w:val="auto"/>
          <w:sz w:val="24"/>
        </w:rPr>
        <w:t>i</w:t>
      </w:r>
      <w:r>
        <w:rPr>
          <w:rFonts w:ascii="Times New Roman" w:hAnsi="Times New Roman" w:cs="Times New Roman"/>
          <w:color w:val="auto"/>
          <w:sz w:val="24"/>
        </w:rPr>
        <w:t xml:space="preserve">mpuestos </w:t>
      </w:r>
      <w:r w:rsidR="006C32DC">
        <w:rPr>
          <w:rFonts w:ascii="Times New Roman" w:hAnsi="Times New Roman" w:cs="Times New Roman"/>
          <w:color w:val="auto"/>
          <w:sz w:val="24"/>
        </w:rPr>
        <w:t xml:space="preserve">continúan con </w:t>
      </w:r>
      <w:r w:rsidR="00962437">
        <w:rPr>
          <w:rFonts w:ascii="Times New Roman" w:hAnsi="Times New Roman" w:cs="Times New Roman"/>
          <w:color w:val="auto"/>
          <w:sz w:val="24"/>
        </w:rPr>
        <w:t>buen dinamismo</w:t>
      </w:r>
      <w:r w:rsidR="00822B1E">
        <w:rPr>
          <w:rFonts w:ascii="Times New Roman" w:hAnsi="Times New Roman" w:cs="Times New Roman"/>
          <w:color w:val="auto"/>
          <w:sz w:val="24"/>
        </w:rPr>
        <w:t xml:space="preserve"> </w:t>
      </w:r>
      <w:r>
        <w:rPr>
          <w:rFonts w:ascii="Times New Roman" w:hAnsi="Times New Roman" w:cs="Times New Roman"/>
          <w:color w:val="auto"/>
          <w:sz w:val="24"/>
        </w:rPr>
        <w:t xml:space="preserve">en el </w:t>
      </w:r>
      <w:r w:rsidR="00760A76">
        <w:rPr>
          <w:rFonts w:ascii="Times New Roman" w:hAnsi="Times New Roman" w:cs="Times New Roman"/>
          <w:color w:val="auto"/>
          <w:sz w:val="24"/>
        </w:rPr>
        <w:t>segundo</w:t>
      </w:r>
      <w:r>
        <w:rPr>
          <w:rFonts w:ascii="Times New Roman" w:hAnsi="Times New Roman" w:cs="Times New Roman"/>
          <w:color w:val="auto"/>
          <w:sz w:val="24"/>
        </w:rPr>
        <w:t xml:space="preserve"> trimestre</w:t>
      </w:r>
      <w:bookmarkEnd w:id="48"/>
    </w:p>
    <w:p w14:paraId="25A57EC6" w14:textId="20965907" w:rsidR="00EA6D15" w:rsidRDefault="00CE6542" w:rsidP="00B304F3">
      <w:pPr>
        <w:pStyle w:val="Prrafodelista"/>
        <w:ind w:left="0"/>
        <w:rPr>
          <w:sz w:val="22"/>
        </w:rPr>
      </w:pPr>
      <w:r w:rsidRPr="00DC74C2">
        <w:rPr>
          <w:noProof/>
          <w:sz w:val="22"/>
          <w:lang w:eastAsia="es-GT"/>
        </w:rPr>
        <w:drawing>
          <wp:anchor distT="0" distB="0" distL="114300" distR="114300" simplePos="0" relativeHeight="251658244" behindDoc="0" locked="0" layoutInCell="1" allowOverlap="1" wp14:anchorId="63261D0C" wp14:editId="7E839C0F">
            <wp:simplePos x="0" y="0"/>
            <wp:positionH relativeFrom="margin">
              <wp:posOffset>2914015</wp:posOffset>
            </wp:positionH>
            <wp:positionV relativeFrom="paragraph">
              <wp:posOffset>2540</wp:posOffset>
            </wp:positionV>
            <wp:extent cx="3051810" cy="4246880"/>
            <wp:effectExtent l="0" t="0" r="15240" b="1270"/>
            <wp:wrapSquare wrapText="bothSides"/>
            <wp:docPr id="8" name="Gráfico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margin">
              <wp14:pctWidth>0</wp14:pctWidth>
            </wp14:sizeRelH>
            <wp14:sizeRelV relativeFrom="margin">
              <wp14:pctHeight>0</wp14:pctHeight>
            </wp14:sizeRelV>
          </wp:anchor>
        </w:drawing>
      </w:r>
      <w:r w:rsidR="004A1D48">
        <w:rPr>
          <w:sz w:val="22"/>
        </w:rPr>
        <w:t>L</w:t>
      </w:r>
      <w:r w:rsidR="00E85BBF">
        <w:rPr>
          <w:sz w:val="22"/>
        </w:rPr>
        <w:t xml:space="preserve">a recaudación de </w:t>
      </w:r>
      <w:r w:rsidR="006C56DA">
        <w:rPr>
          <w:sz w:val="22"/>
        </w:rPr>
        <w:t>impuestos</w:t>
      </w:r>
      <w:r w:rsidR="00F153ED">
        <w:rPr>
          <w:sz w:val="22"/>
        </w:rPr>
        <w:t xml:space="preserve"> asciende a</w:t>
      </w:r>
      <w:r w:rsidR="00EA776C">
        <w:rPr>
          <w:sz w:val="22"/>
        </w:rPr>
        <w:t xml:space="preserve"> Q</w:t>
      </w:r>
      <w:r w:rsidR="004A1D48">
        <w:rPr>
          <w:sz w:val="22"/>
        </w:rPr>
        <w:t>35</w:t>
      </w:r>
      <w:r w:rsidR="00EA776C">
        <w:rPr>
          <w:sz w:val="22"/>
        </w:rPr>
        <w:t>,6</w:t>
      </w:r>
      <w:r w:rsidR="004A1D48">
        <w:rPr>
          <w:sz w:val="22"/>
        </w:rPr>
        <w:t>31</w:t>
      </w:r>
      <w:r w:rsidR="00EA776C">
        <w:rPr>
          <w:sz w:val="22"/>
        </w:rPr>
        <w:t>.</w:t>
      </w:r>
      <w:r w:rsidR="00AA1C1F">
        <w:rPr>
          <w:sz w:val="22"/>
        </w:rPr>
        <w:t>5</w:t>
      </w:r>
      <w:r w:rsidR="00EA776C">
        <w:rPr>
          <w:sz w:val="22"/>
        </w:rPr>
        <w:t xml:space="preserve"> millones</w:t>
      </w:r>
      <w:r w:rsidR="00B45A0C">
        <w:rPr>
          <w:sz w:val="22"/>
        </w:rPr>
        <w:t xml:space="preserve"> al segundo trimestre</w:t>
      </w:r>
      <w:r w:rsidR="00EA776C">
        <w:rPr>
          <w:sz w:val="22"/>
        </w:rPr>
        <w:t xml:space="preserve">, siendo un </w:t>
      </w:r>
      <w:r w:rsidR="00D3730C">
        <w:rPr>
          <w:sz w:val="22"/>
        </w:rPr>
        <w:t>incremento interanual</w:t>
      </w:r>
      <w:r w:rsidR="00EA776C">
        <w:rPr>
          <w:sz w:val="22"/>
        </w:rPr>
        <w:t xml:space="preserve"> del </w:t>
      </w:r>
      <w:r w:rsidR="00D3730C">
        <w:rPr>
          <w:sz w:val="22"/>
        </w:rPr>
        <w:t>2</w:t>
      </w:r>
      <w:r w:rsidR="00B45A0C">
        <w:rPr>
          <w:sz w:val="22"/>
        </w:rPr>
        <w:t>6</w:t>
      </w:r>
      <w:r w:rsidR="00D3730C">
        <w:rPr>
          <w:sz w:val="22"/>
        </w:rPr>
        <w:t>.</w:t>
      </w:r>
      <w:r w:rsidR="00B45A0C">
        <w:rPr>
          <w:sz w:val="22"/>
        </w:rPr>
        <w:t>4</w:t>
      </w:r>
      <w:r w:rsidR="00D3730C">
        <w:rPr>
          <w:sz w:val="22"/>
        </w:rPr>
        <w:t>%</w:t>
      </w:r>
      <w:r w:rsidR="00F153ED">
        <w:rPr>
          <w:sz w:val="22"/>
        </w:rPr>
        <w:t xml:space="preserve"> </w:t>
      </w:r>
      <w:r w:rsidR="00D3730C">
        <w:rPr>
          <w:sz w:val="22"/>
        </w:rPr>
        <w:t>(</w:t>
      </w:r>
      <w:r w:rsidR="00EA776C">
        <w:rPr>
          <w:sz w:val="22"/>
        </w:rPr>
        <w:t>Q</w:t>
      </w:r>
      <w:r w:rsidR="00B45A0C">
        <w:rPr>
          <w:sz w:val="22"/>
        </w:rPr>
        <w:t>7</w:t>
      </w:r>
      <w:r w:rsidR="00EA776C">
        <w:rPr>
          <w:sz w:val="22"/>
        </w:rPr>
        <w:t>,</w:t>
      </w:r>
      <w:r w:rsidR="00B45A0C">
        <w:rPr>
          <w:sz w:val="22"/>
        </w:rPr>
        <w:t>433</w:t>
      </w:r>
      <w:r w:rsidR="00EA776C">
        <w:rPr>
          <w:sz w:val="22"/>
        </w:rPr>
        <w:t>.</w:t>
      </w:r>
      <w:r w:rsidR="00E61B1E">
        <w:rPr>
          <w:sz w:val="22"/>
        </w:rPr>
        <w:t>4</w:t>
      </w:r>
      <w:r w:rsidR="00EA776C">
        <w:rPr>
          <w:sz w:val="22"/>
        </w:rPr>
        <w:t xml:space="preserve"> millones</w:t>
      </w:r>
      <w:r w:rsidR="00D3730C">
        <w:rPr>
          <w:sz w:val="22"/>
        </w:rPr>
        <w:t>)</w:t>
      </w:r>
      <w:r w:rsidR="00DC74C2" w:rsidRPr="0060606D">
        <w:rPr>
          <w:sz w:val="22"/>
        </w:rPr>
        <w:t>.</w:t>
      </w:r>
      <w:r w:rsidR="00D3730C">
        <w:rPr>
          <w:sz w:val="22"/>
        </w:rPr>
        <w:t xml:space="preserve"> </w:t>
      </w:r>
      <w:r w:rsidR="00E85BBF">
        <w:rPr>
          <w:sz w:val="22"/>
        </w:rPr>
        <w:t xml:space="preserve">El impuesto sobre </w:t>
      </w:r>
      <w:r w:rsidR="00B304F3">
        <w:rPr>
          <w:sz w:val="22"/>
        </w:rPr>
        <w:t>los bienes y servicios</w:t>
      </w:r>
      <w:r w:rsidR="00787F0D">
        <w:rPr>
          <w:sz w:val="22"/>
        </w:rPr>
        <w:t xml:space="preserve"> </w:t>
      </w:r>
      <w:r w:rsidR="00B304F3">
        <w:rPr>
          <w:sz w:val="22"/>
        </w:rPr>
        <w:t xml:space="preserve">asciende </w:t>
      </w:r>
      <w:r w:rsidR="00AD0810">
        <w:rPr>
          <w:sz w:val="22"/>
        </w:rPr>
        <w:t>a Q</w:t>
      </w:r>
      <w:r w:rsidR="00787F0D">
        <w:rPr>
          <w:sz w:val="22"/>
        </w:rPr>
        <w:t>21</w:t>
      </w:r>
      <w:r w:rsidR="00AD0810">
        <w:rPr>
          <w:sz w:val="22"/>
        </w:rPr>
        <w:t>,</w:t>
      </w:r>
      <w:r w:rsidR="00787F0D">
        <w:rPr>
          <w:sz w:val="22"/>
        </w:rPr>
        <w:t>0</w:t>
      </w:r>
      <w:r w:rsidR="00AC2639">
        <w:rPr>
          <w:sz w:val="22"/>
        </w:rPr>
        <w:t>47.</w:t>
      </w:r>
      <w:r w:rsidR="00FD1DAE">
        <w:rPr>
          <w:sz w:val="22"/>
        </w:rPr>
        <w:t>3</w:t>
      </w:r>
      <w:r w:rsidR="00AD0810">
        <w:rPr>
          <w:sz w:val="22"/>
        </w:rPr>
        <w:t xml:space="preserve"> millones</w:t>
      </w:r>
      <w:r w:rsidR="00962437">
        <w:rPr>
          <w:sz w:val="22"/>
        </w:rPr>
        <w:t xml:space="preserve">, mostrando </w:t>
      </w:r>
      <w:r w:rsidR="00E0786A">
        <w:rPr>
          <w:sz w:val="22"/>
        </w:rPr>
        <w:t>una variación interanual de</w:t>
      </w:r>
      <w:r w:rsidR="003338F1">
        <w:rPr>
          <w:sz w:val="22"/>
        </w:rPr>
        <w:t xml:space="preserve"> </w:t>
      </w:r>
      <w:r w:rsidR="00AC2639">
        <w:rPr>
          <w:sz w:val="22"/>
        </w:rPr>
        <w:t>30</w:t>
      </w:r>
      <w:r w:rsidR="003338F1">
        <w:rPr>
          <w:sz w:val="22"/>
        </w:rPr>
        <w:t>.</w:t>
      </w:r>
      <w:r w:rsidR="00AC2639">
        <w:rPr>
          <w:sz w:val="22"/>
        </w:rPr>
        <w:t>1</w:t>
      </w:r>
      <w:r w:rsidR="003338F1">
        <w:rPr>
          <w:sz w:val="22"/>
        </w:rPr>
        <w:t>% (</w:t>
      </w:r>
      <w:r w:rsidR="009B09C5">
        <w:rPr>
          <w:sz w:val="22"/>
        </w:rPr>
        <w:t>Q</w:t>
      </w:r>
      <w:r w:rsidR="00AC2639">
        <w:rPr>
          <w:sz w:val="22"/>
        </w:rPr>
        <w:t>4</w:t>
      </w:r>
      <w:r w:rsidR="009B09C5">
        <w:rPr>
          <w:sz w:val="22"/>
        </w:rPr>
        <w:t>,</w:t>
      </w:r>
      <w:r w:rsidR="00AC2639">
        <w:rPr>
          <w:sz w:val="22"/>
        </w:rPr>
        <w:t>86</w:t>
      </w:r>
      <w:r w:rsidR="00793B3F">
        <w:rPr>
          <w:sz w:val="22"/>
        </w:rPr>
        <w:t>8</w:t>
      </w:r>
      <w:r w:rsidR="00AC2639">
        <w:rPr>
          <w:sz w:val="22"/>
        </w:rPr>
        <w:t>.</w:t>
      </w:r>
      <w:r w:rsidR="00793B3F">
        <w:rPr>
          <w:sz w:val="22"/>
        </w:rPr>
        <w:t>1</w:t>
      </w:r>
      <w:r w:rsidR="009B09C5">
        <w:rPr>
          <w:sz w:val="22"/>
        </w:rPr>
        <w:t xml:space="preserve"> millones)</w:t>
      </w:r>
      <w:r w:rsidR="004671E6">
        <w:rPr>
          <w:sz w:val="22"/>
        </w:rPr>
        <w:t xml:space="preserve"> y cabe mencionar que dentro de los mismos se encuentra el</w:t>
      </w:r>
      <w:r w:rsidR="00F800D4">
        <w:rPr>
          <w:sz w:val="22"/>
        </w:rPr>
        <w:t xml:space="preserve"> de impuestos generales sobre bienes y servicios (IVA) </w:t>
      </w:r>
      <w:r w:rsidR="00932352">
        <w:rPr>
          <w:sz w:val="22"/>
        </w:rPr>
        <w:t xml:space="preserve">que ha tenido </w:t>
      </w:r>
      <w:r w:rsidR="00B20F9F">
        <w:rPr>
          <w:sz w:val="22"/>
        </w:rPr>
        <w:t>un incremento</w:t>
      </w:r>
      <w:r w:rsidR="00932352">
        <w:rPr>
          <w:sz w:val="22"/>
        </w:rPr>
        <w:t xml:space="preserve"> interanual</w:t>
      </w:r>
      <w:r w:rsidR="00B20F9F">
        <w:rPr>
          <w:sz w:val="22"/>
        </w:rPr>
        <w:t xml:space="preserve"> del 2</w:t>
      </w:r>
      <w:r w:rsidR="00932352">
        <w:rPr>
          <w:sz w:val="22"/>
        </w:rPr>
        <w:t>9</w:t>
      </w:r>
      <w:r w:rsidR="00B20F9F">
        <w:rPr>
          <w:sz w:val="22"/>
        </w:rPr>
        <w:t>.</w:t>
      </w:r>
      <w:r w:rsidR="00932352">
        <w:rPr>
          <w:sz w:val="22"/>
        </w:rPr>
        <w:t>4</w:t>
      </w:r>
      <w:r w:rsidR="00B20F9F">
        <w:rPr>
          <w:sz w:val="22"/>
        </w:rPr>
        <w:t>% (Q</w:t>
      </w:r>
      <w:r w:rsidR="00FB1736">
        <w:rPr>
          <w:sz w:val="22"/>
        </w:rPr>
        <w:t>3</w:t>
      </w:r>
      <w:r w:rsidR="00B20F9F">
        <w:rPr>
          <w:sz w:val="22"/>
        </w:rPr>
        <w:t>,</w:t>
      </w:r>
      <w:r w:rsidR="00FB1736">
        <w:rPr>
          <w:sz w:val="22"/>
        </w:rPr>
        <w:t>896.9</w:t>
      </w:r>
      <w:r w:rsidR="00B20F9F">
        <w:rPr>
          <w:sz w:val="22"/>
        </w:rPr>
        <w:t xml:space="preserve"> millones)</w:t>
      </w:r>
      <w:r w:rsidR="00511E22">
        <w:rPr>
          <w:sz w:val="22"/>
        </w:rPr>
        <w:t xml:space="preserve"> mientras que los impuestos selectivos y </w:t>
      </w:r>
      <w:r w:rsidR="002B5C31" w:rsidRPr="002B5C31">
        <w:rPr>
          <w:sz w:val="22"/>
        </w:rPr>
        <w:t>sobre el uso de bienes y permiso</w:t>
      </w:r>
      <w:r w:rsidR="002B5C31">
        <w:rPr>
          <w:sz w:val="22"/>
        </w:rPr>
        <w:t>s</w:t>
      </w:r>
      <w:r w:rsidR="002B5C31" w:rsidRPr="002B5C31">
        <w:rPr>
          <w:sz w:val="22"/>
        </w:rPr>
        <w:t xml:space="preserve"> para usar bienes o realizar actividades</w:t>
      </w:r>
      <w:r w:rsidR="002B5C31">
        <w:rPr>
          <w:sz w:val="22"/>
        </w:rPr>
        <w:t xml:space="preserve"> tuvieron un crecimiento del </w:t>
      </w:r>
      <w:r w:rsidR="00A73281">
        <w:rPr>
          <w:sz w:val="22"/>
        </w:rPr>
        <w:t>24.2% (Q538.1 millones) y 61.7% (</w:t>
      </w:r>
      <w:r w:rsidR="00847EDD">
        <w:rPr>
          <w:sz w:val="22"/>
        </w:rPr>
        <w:t>Q43</w:t>
      </w:r>
      <w:r w:rsidR="006A0DE8">
        <w:rPr>
          <w:sz w:val="22"/>
        </w:rPr>
        <w:t>3</w:t>
      </w:r>
      <w:r w:rsidR="00847EDD">
        <w:rPr>
          <w:sz w:val="22"/>
        </w:rPr>
        <w:t>.</w:t>
      </w:r>
      <w:r w:rsidR="006A0DE8">
        <w:rPr>
          <w:sz w:val="22"/>
        </w:rPr>
        <w:t>1</w:t>
      </w:r>
      <w:r w:rsidR="00847EDD">
        <w:rPr>
          <w:sz w:val="22"/>
        </w:rPr>
        <w:t xml:space="preserve"> millones) respectivamente</w:t>
      </w:r>
      <w:r w:rsidR="00343A1D">
        <w:rPr>
          <w:sz w:val="22"/>
        </w:rPr>
        <w:t>.</w:t>
      </w:r>
    </w:p>
    <w:p w14:paraId="7E4227BF" w14:textId="4AFBD4A1" w:rsidR="00343A1D" w:rsidRDefault="00343A1D" w:rsidP="00B304F3">
      <w:pPr>
        <w:pStyle w:val="Prrafodelista"/>
        <w:ind w:left="0"/>
        <w:rPr>
          <w:sz w:val="22"/>
        </w:rPr>
      </w:pPr>
    </w:p>
    <w:p w14:paraId="56AF5007" w14:textId="3D02EAF4" w:rsidR="00A15AEB" w:rsidRDefault="00B474DB" w:rsidP="00F55D61">
      <w:r>
        <w:t>L</w:t>
      </w:r>
      <w:r w:rsidR="007F2F65">
        <w:t>os impuestos sob</w:t>
      </w:r>
      <w:r w:rsidR="006166E9">
        <w:t>r</w:t>
      </w:r>
      <w:r w:rsidR="007F2F65">
        <w:t xml:space="preserve">e el ingreso, las utilidades y las ganancias de capital </w:t>
      </w:r>
      <w:r w:rsidR="001F5A10">
        <w:t>alcanza</w:t>
      </w:r>
      <w:r w:rsidR="00A96E39">
        <w:t>ron</w:t>
      </w:r>
      <w:r w:rsidR="001F5A10">
        <w:t xml:space="preserve"> una recaudación acumulada de Q</w:t>
      </w:r>
      <w:r w:rsidR="005D748F">
        <w:t>12,713.7</w:t>
      </w:r>
      <w:r w:rsidR="001F5A10">
        <w:t xml:space="preserve"> millones</w:t>
      </w:r>
      <w:r w:rsidR="00D22202">
        <w:t xml:space="preserve"> en el primer trimestre </w:t>
      </w:r>
      <w:r w:rsidR="005D748F">
        <w:t>con</w:t>
      </w:r>
      <w:r w:rsidR="00F87354">
        <w:t xml:space="preserve"> un</w:t>
      </w:r>
      <w:r w:rsidR="005D748F">
        <w:t xml:space="preserve"> </w:t>
      </w:r>
      <w:r w:rsidR="0028513C">
        <w:t xml:space="preserve">crecimiento interanual </w:t>
      </w:r>
      <w:r w:rsidR="00D22202">
        <w:t xml:space="preserve">acumulado </w:t>
      </w:r>
      <w:r w:rsidR="0028513C">
        <w:t xml:space="preserve">del </w:t>
      </w:r>
      <w:r w:rsidR="00866FB6">
        <w:t>19</w:t>
      </w:r>
      <w:r w:rsidR="00F02A14">
        <w:t>.</w:t>
      </w:r>
      <w:r w:rsidR="00866FB6">
        <w:t>0</w:t>
      </w:r>
      <w:r w:rsidR="00F02A14">
        <w:t>% (Q</w:t>
      </w:r>
      <w:r w:rsidR="00866FB6">
        <w:t>2</w:t>
      </w:r>
      <w:r w:rsidR="00F02A14">
        <w:t>,</w:t>
      </w:r>
      <w:r w:rsidR="00866FB6">
        <w:t>029</w:t>
      </w:r>
      <w:r w:rsidR="00F02A14">
        <w:t>.</w:t>
      </w:r>
      <w:r w:rsidR="00EE02A3">
        <w:t>2</w:t>
      </w:r>
      <w:r w:rsidR="00F02A14">
        <w:t xml:space="preserve"> millones</w:t>
      </w:r>
      <w:r w:rsidR="006166E9">
        <w:t>)</w:t>
      </w:r>
      <w:r w:rsidR="00A54245">
        <w:t xml:space="preserve"> de los cuales </w:t>
      </w:r>
      <w:r w:rsidR="00302799">
        <w:t xml:space="preserve">el impuesto </w:t>
      </w:r>
      <w:r w:rsidR="0041677B">
        <w:t>proveniente</w:t>
      </w:r>
      <w:r w:rsidR="00302799">
        <w:t xml:space="preserve"> </w:t>
      </w:r>
      <w:r w:rsidR="00C67281">
        <w:t xml:space="preserve">de </w:t>
      </w:r>
      <w:r w:rsidR="00302799">
        <w:t>sociedades y otras empresas</w:t>
      </w:r>
      <w:r w:rsidR="00A162E9">
        <w:t xml:space="preserve"> tuvo</w:t>
      </w:r>
      <w:r w:rsidR="0014747D">
        <w:t xml:space="preserve"> </w:t>
      </w:r>
      <w:r w:rsidR="00302799">
        <w:t>una variación interanual acumulada de</w:t>
      </w:r>
      <w:r w:rsidR="00EE1921">
        <w:t>l 27.7% equivalente a Q1,8</w:t>
      </w:r>
      <w:r w:rsidR="00627F32">
        <w:t>63</w:t>
      </w:r>
      <w:r w:rsidR="00EE1921">
        <w:t>.</w:t>
      </w:r>
      <w:r w:rsidR="00627F32">
        <w:t>3</w:t>
      </w:r>
      <w:r w:rsidR="00EE1921">
        <w:t xml:space="preserve"> millones</w:t>
      </w:r>
      <w:r w:rsidR="00CE53F2">
        <w:t xml:space="preserve"> y los pagaderos por personas físicas del </w:t>
      </w:r>
      <w:r w:rsidR="00F651B3">
        <w:t>11.9% (</w:t>
      </w:r>
      <w:r w:rsidR="0014747D">
        <w:t>Q</w:t>
      </w:r>
      <w:r w:rsidR="00F651B3">
        <w:t>165.9 millones)</w:t>
      </w:r>
      <w:r w:rsidR="00EE1921">
        <w:t>.</w:t>
      </w:r>
    </w:p>
    <w:p w14:paraId="50A532A4" w14:textId="6C949AA3" w:rsidR="009D7455" w:rsidRDefault="009D7455" w:rsidP="00F55D61"/>
    <w:p w14:paraId="1BFD4FFC" w14:textId="1E53F57A" w:rsidR="009D7455" w:rsidRPr="00AC1506" w:rsidRDefault="00695140" w:rsidP="00F55D61">
      <w:r w:rsidRPr="00153096">
        <w:t xml:space="preserve">En cuanto a </w:t>
      </w:r>
      <w:r w:rsidR="009E74F4" w:rsidRPr="00153096">
        <w:t>los impuestos</w:t>
      </w:r>
      <w:r w:rsidR="00AD6572" w:rsidRPr="00153096">
        <w:t xml:space="preserve"> sobre el comercio y las transacciones internacionales</w:t>
      </w:r>
      <w:r w:rsidR="00102276" w:rsidRPr="00153096">
        <w:t>, al mes de junio se observa una recaudación de</w:t>
      </w:r>
      <w:r w:rsidR="00071109" w:rsidRPr="00153096">
        <w:t xml:space="preserve"> Q</w:t>
      </w:r>
      <w:r w:rsidR="00153096" w:rsidRPr="00153096">
        <w:t>1,605.0</w:t>
      </w:r>
      <w:r w:rsidR="00071109" w:rsidRPr="00153096">
        <w:t xml:space="preserve"> millones, </w:t>
      </w:r>
      <w:r w:rsidR="00153096" w:rsidRPr="00153096">
        <w:t xml:space="preserve">con </w:t>
      </w:r>
      <w:r w:rsidR="00071109" w:rsidRPr="00153096">
        <w:t xml:space="preserve">un incremento interanual del </w:t>
      </w:r>
      <w:r w:rsidR="00153096" w:rsidRPr="00153096">
        <w:t>37.5</w:t>
      </w:r>
      <w:r w:rsidR="007170CB" w:rsidRPr="00153096">
        <w:t>% (Q</w:t>
      </w:r>
      <w:r w:rsidR="00153096" w:rsidRPr="00153096">
        <w:t>437.6</w:t>
      </w:r>
      <w:r w:rsidR="007170CB" w:rsidRPr="00153096">
        <w:t xml:space="preserve"> millones)</w:t>
      </w:r>
      <w:r w:rsidR="009E74F4">
        <w:t xml:space="preserve">. En esta categoría se destaca a </w:t>
      </w:r>
      <w:r w:rsidR="00942B44" w:rsidRPr="00153096">
        <w:t xml:space="preserve">los </w:t>
      </w:r>
      <w:r w:rsidR="00663B82" w:rsidRPr="00153096">
        <w:t>derechos de aduana y otros derechos de importación (</w:t>
      </w:r>
      <w:r w:rsidR="00AD4719" w:rsidRPr="00153096">
        <w:t xml:space="preserve">incluye los </w:t>
      </w:r>
      <w:r w:rsidR="00663B82" w:rsidRPr="00153096">
        <w:t>DAI</w:t>
      </w:r>
      <w:r w:rsidR="00AD4719" w:rsidRPr="00153096">
        <w:t xml:space="preserve">) </w:t>
      </w:r>
      <w:r w:rsidR="009E74F4">
        <w:t xml:space="preserve">con </w:t>
      </w:r>
      <w:r w:rsidR="009E74F4" w:rsidRPr="00153096">
        <w:t>una</w:t>
      </w:r>
      <w:r w:rsidR="00AD4719" w:rsidRPr="00153096">
        <w:t xml:space="preserve"> tasa de crecimiento interanual del </w:t>
      </w:r>
      <w:r w:rsidR="001C4E87">
        <w:t>42</w:t>
      </w:r>
      <w:r w:rsidR="008D4AB4" w:rsidRPr="00153096">
        <w:t>.</w:t>
      </w:r>
      <w:r w:rsidR="001C4E87">
        <w:t>7</w:t>
      </w:r>
      <w:r w:rsidR="008D4AB4" w:rsidRPr="00153096">
        <w:t>% (Q</w:t>
      </w:r>
      <w:r w:rsidR="001C4E87">
        <w:t>455</w:t>
      </w:r>
      <w:r w:rsidR="005D3B6B" w:rsidRPr="00153096">
        <w:t>.</w:t>
      </w:r>
      <w:r w:rsidR="001C4E87">
        <w:t>6</w:t>
      </w:r>
      <w:r w:rsidR="008D4AB4" w:rsidRPr="00153096">
        <w:t xml:space="preserve"> millones)</w:t>
      </w:r>
      <w:r w:rsidR="005D3B6B" w:rsidRPr="00153096">
        <w:t xml:space="preserve"> mientras que los otros impuestos sobre el comercio y las transacciones </w:t>
      </w:r>
      <w:r w:rsidR="00CA2282" w:rsidRPr="00153096">
        <w:t>internacionales</w:t>
      </w:r>
      <w:r w:rsidR="004544F8" w:rsidRPr="00153096">
        <w:t xml:space="preserve"> (</w:t>
      </w:r>
      <w:r w:rsidR="00F33A2E" w:rsidRPr="00153096">
        <w:t>I</w:t>
      </w:r>
      <w:r w:rsidR="00E3258D" w:rsidRPr="00153096">
        <w:t xml:space="preserve">mpuesto sobre </w:t>
      </w:r>
      <w:r w:rsidR="004544F8" w:rsidRPr="00153096">
        <w:t>Salida del país)</w:t>
      </w:r>
      <w:r w:rsidR="00331C19">
        <w:t xml:space="preserve"> </w:t>
      </w:r>
      <w:r w:rsidR="0014747D" w:rsidRPr="0000665E">
        <w:t xml:space="preserve">el segundo trimestre </w:t>
      </w:r>
      <w:r w:rsidR="0014747D">
        <w:t xml:space="preserve">dio cuenta de un mejor comportamiento </w:t>
      </w:r>
      <w:r w:rsidR="0090694A">
        <w:t>que lo observado en el primer trimestre</w:t>
      </w:r>
      <w:r w:rsidR="004E19CA">
        <w:t>,</w:t>
      </w:r>
      <w:r w:rsidR="0090694A">
        <w:t xml:space="preserve"> sin embargo</w:t>
      </w:r>
      <w:r w:rsidR="004E19CA">
        <w:t>,</w:t>
      </w:r>
      <w:r w:rsidR="00CA2282" w:rsidRPr="00153096">
        <w:t xml:space="preserve"> </w:t>
      </w:r>
      <w:r w:rsidR="00E75B79">
        <w:t>mantiene</w:t>
      </w:r>
      <w:r w:rsidR="004E19CA">
        <w:t xml:space="preserve"> a junio</w:t>
      </w:r>
      <w:r w:rsidR="00E75B79">
        <w:t xml:space="preserve"> </w:t>
      </w:r>
      <w:r w:rsidR="00CA2282" w:rsidRPr="00153096">
        <w:t xml:space="preserve">una variación interanual </w:t>
      </w:r>
      <w:r w:rsidR="0090694A">
        <w:t xml:space="preserve">acumulada </w:t>
      </w:r>
      <w:r w:rsidR="00CA2282" w:rsidRPr="00153096">
        <w:t>negativa</w:t>
      </w:r>
      <w:r w:rsidR="0090694A">
        <w:t xml:space="preserve"> </w:t>
      </w:r>
      <w:r w:rsidR="00E75B79">
        <w:t>del 18.1</w:t>
      </w:r>
      <w:r w:rsidR="00CA2282" w:rsidRPr="00153096">
        <w:t>% (</w:t>
      </w:r>
      <w:r w:rsidR="000B29FE" w:rsidRPr="00153096">
        <w:t>Q</w:t>
      </w:r>
      <w:r w:rsidR="007479EF">
        <w:t>18</w:t>
      </w:r>
      <w:r w:rsidR="000B29FE" w:rsidRPr="00153096">
        <w:t>.</w:t>
      </w:r>
      <w:r w:rsidR="007479EF">
        <w:t>0</w:t>
      </w:r>
      <w:r w:rsidR="000B29FE" w:rsidRPr="00153096">
        <w:t xml:space="preserve"> millones)</w:t>
      </w:r>
      <w:r w:rsidR="00BB55F5" w:rsidRPr="00153096">
        <w:t>.</w:t>
      </w:r>
    </w:p>
    <w:p w14:paraId="30745792" w14:textId="068D8141" w:rsidR="00A15AEB" w:rsidRDefault="00A15AEB" w:rsidP="006B682E"/>
    <w:p w14:paraId="7DA4567A" w14:textId="15FCFD40" w:rsidR="00477C22" w:rsidRDefault="00750388" w:rsidP="006B682E">
      <w:r>
        <w:t>Por su parte</w:t>
      </w:r>
      <w:r w:rsidR="00477C22">
        <w:t>,</w:t>
      </w:r>
      <w:r w:rsidR="00F11A28" w:rsidRPr="00F11A28">
        <w:t xml:space="preserve"> </w:t>
      </w:r>
      <w:r w:rsidR="00F11A28">
        <w:t>la categoría de otros impuestos</w:t>
      </w:r>
      <w:r w:rsidR="001B1571">
        <w:t xml:space="preserve"> (contiene </w:t>
      </w:r>
      <w:r w:rsidR="008C1BC5">
        <w:t>Timbres Fiscales)</w:t>
      </w:r>
      <w:r w:rsidR="00477C22">
        <w:t xml:space="preserve"> </w:t>
      </w:r>
      <w:r w:rsidR="00F11A28">
        <w:t xml:space="preserve">asciende a </w:t>
      </w:r>
      <w:r w:rsidR="0014747D">
        <w:t>Q</w:t>
      </w:r>
      <w:r w:rsidR="00510CAF">
        <w:t>254</w:t>
      </w:r>
      <w:r w:rsidR="00E602E2">
        <w:t>.</w:t>
      </w:r>
      <w:r w:rsidR="00510CAF">
        <w:t>7</w:t>
      </w:r>
      <w:r w:rsidR="00E602E2">
        <w:t xml:space="preserve"> millones con una variación interanual del </w:t>
      </w:r>
      <w:r w:rsidR="00510CAF">
        <w:t>58</w:t>
      </w:r>
      <w:r w:rsidR="00E602E2">
        <w:t>.</w:t>
      </w:r>
      <w:r w:rsidR="00510CAF">
        <w:t>2</w:t>
      </w:r>
      <w:r w:rsidR="00E602E2">
        <w:t>% (Q</w:t>
      </w:r>
      <w:r w:rsidR="00510CAF">
        <w:t>93</w:t>
      </w:r>
      <w:r w:rsidR="00E602E2">
        <w:t>.</w:t>
      </w:r>
      <w:r w:rsidR="00510CAF">
        <w:t>7</w:t>
      </w:r>
      <w:r w:rsidR="002E350E">
        <w:t xml:space="preserve"> millones) mientras que </w:t>
      </w:r>
      <w:r w:rsidR="00477C22">
        <w:t xml:space="preserve">los impuestos </w:t>
      </w:r>
      <w:r w:rsidR="00066095">
        <w:t>sobre la propiedad</w:t>
      </w:r>
      <w:r w:rsidR="00D20A4A">
        <w:t xml:space="preserve"> ascienden a un total de Q</w:t>
      </w:r>
      <w:r w:rsidR="0072540F">
        <w:t>10.7</w:t>
      </w:r>
      <w:r w:rsidR="00D20A4A">
        <w:t xml:space="preserve"> millones con una variación interanual del </w:t>
      </w:r>
      <w:r w:rsidR="0072540F">
        <w:t>78</w:t>
      </w:r>
      <w:r w:rsidR="00D20A4A">
        <w:t>.</w:t>
      </w:r>
      <w:r w:rsidR="0072540F">
        <w:t>7</w:t>
      </w:r>
      <w:r w:rsidR="00D20A4A">
        <w:t>% (Q</w:t>
      </w:r>
      <w:r w:rsidR="0070184A">
        <w:t>4</w:t>
      </w:r>
      <w:r w:rsidR="00D20A4A">
        <w:t>.</w:t>
      </w:r>
      <w:r w:rsidR="0070184A">
        <w:t>7</w:t>
      </w:r>
      <w:r w:rsidR="00D20A4A">
        <w:t xml:space="preserve"> millones)</w:t>
      </w:r>
      <w:r w:rsidR="002E350E">
        <w:t>.</w:t>
      </w:r>
    </w:p>
    <w:p w14:paraId="2F8B2438" w14:textId="736D3C38" w:rsidR="00E66A98" w:rsidRPr="00AC1506" w:rsidRDefault="00E66A98" w:rsidP="00E66A98">
      <w:pPr>
        <w:pStyle w:val="Prrafodelista"/>
        <w:numPr>
          <w:ilvl w:val="0"/>
          <w:numId w:val="32"/>
        </w:numPr>
        <w:outlineLvl w:val="2"/>
        <w:rPr>
          <w:rFonts w:cs="Times New Roman"/>
          <w:b/>
          <w:vanish/>
          <w:lang w:val="es-MX"/>
        </w:rPr>
      </w:pPr>
      <w:bookmarkStart w:id="49" w:name="_Toc31612759"/>
      <w:bookmarkStart w:id="50" w:name="_Toc31612791"/>
      <w:bookmarkStart w:id="51" w:name="_Toc31614817"/>
      <w:bookmarkStart w:id="52" w:name="_Toc31614849"/>
      <w:bookmarkStart w:id="53" w:name="_Toc31618686"/>
      <w:bookmarkStart w:id="54" w:name="_Toc31618719"/>
      <w:bookmarkStart w:id="55" w:name="_Toc31624495"/>
      <w:bookmarkStart w:id="56" w:name="_Toc31625347"/>
      <w:bookmarkStart w:id="57" w:name="_Toc31626802"/>
      <w:bookmarkStart w:id="58" w:name="_Toc31811253"/>
      <w:bookmarkStart w:id="59" w:name="_Toc31811698"/>
      <w:bookmarkStart w:id="60" w:name="_Toc31971861"/>
      <w:bookmarkStart w:id="61" w:name="_Toc32230883"/>
      <w:bookmarkStart w:id="62" w:name="_Toc33109782"/>
      <w:bookmarkStart w:id="63" w:name="_Toc33109825"/>
      <w:bookmarkStart w:id="64" w:name="_Toc33180546"/>
      <w:bookmarkStart w:id="65" w:name="_Toc33180640"/>
      <w:bookmarkStart w:id="66" w:name="_Toc33193537"/>
      <w:bookmarkStart w:id="67" w:name="_Toc33193576"/>
      <w:bookmarkStart w:id="68" w:name="_Toc33196773"/>
      <w:bookmarkStart w:id="69" w:name="_Toc40691749"/>
      <w:bookmarkStart w:id="70" w:name="_Toc40959152"/>
      <w:bookmarkStart w:id="71" w:name="_Toc40975986"/>
      <w:bookmarkStart w:id="72" w:name="_Toc40976055"/>
      <w:bookmarkStart w:id="73" w:name="_Toc40993310"/>
      <w:bookmarkStart w:id="74" w:name="_Toc40993692"/>
      <w:bookmarkStart w:id="75" w:name="_Toc41037568"/>
      <w:bookmarkStart w:id="76" w:name="_Toc41254128"/>
      <w:bookmarkStart w:id="77" w:name="_Toc41254160"/>
      <w:bookmarkStart w:id="78" w:name="_Toc41254180"/>
      <w:bookmarkStart w:id="79" w:name="_Toc42023953"/>
      <w:bookmarkStart w:id="80" w:name="_Toc42024006"/>
      <w:bookmarkStart w:id="81" w:name="_Toc42069104"/>
      <w:bookmarkStart w:id="82" w:name="_Toc49422050"/>
      <w:bookmarkStart w:id="83" w:name="_Toc49422076"/>
      <w:bookmarkStart w:id="84" w:name="_Toc49430655"/>
      <w:bookmarkStart w:id="85" w:name="_Toc49430681"/>
      <w:bookmarkStart w:id="86" w:name="_Toc49750458"/>
      <w:bookmarkStart w:id="87" w:name="_Toc49750708"/>
      <w:bookmarkStart w:id="88" w:name="_Toc49750736"/>
      <w:bookmarkStart w:id="89" w:name="_Toc55284822"/>
      <w:bookmarkStart w:id="90" w:name="_Toc55298840"/>
      <w:bookmarkStart w:id="91" w:name="_Toc55373821"/>
      <w:bookmarkStart w:id="92" w:name="_Toc55373994"/>
      <w:bookmarkStart w:id="93" w:name="_Toc55375131"/>
      <w:bookmarkStart w:id="94" w:name="_Toc55396539"/>
      <w:bookmarkStart w:id="95" w:name="_Toc65230535"/>
      <w:bookmarkStart w:id="96" w:name="_Toc65230773"/>
      <w:bookmarkStart w:id="97" w:name="_Toc65232057"/>
      <w:bookmarkStart w:id="98" w:name="_Toc65232302"/>
      <w:bookmarkStart w:id="99" w:name="_Toc66716161"/>
      <w:bookmarkStart w:id="100" w:name="_Toc71097206"/>
      <w:bookmarkStart w:id="101" w:name="_Toc71097237"/>
      <w:bookmarkStart w:id="102" w:name="_Toc71097312"/>
      <w:bookmarkStart w:id="103" w:name="_Toc71108052"/>
      <w:bookmarkStart w:id="104" w:name="_Toc79055246"/>
      <w:bookmarkStart w:id="105" w:name="_Toc79055277"/>
      <w:bookmarkStart w:id="106" w:name="_Toc79060168"/>
      <w:bookmarkStart w:id="107" w:name="_Toc79060455"/>
      <w:bookmarkStart w:id="108" w:name="_Toc81307812"/>
      <w:bookmarkStart w:id="109" w:name="_Toc83376473"/>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p>
    <w:p w14:paraId="07F93F28" w14:textId="77777777" w:rsidR="00E66A98" w:rsidRPr="00AC1506" w:rsidRDefault="00E66A98" w:rsidP="00E66A98">
      <w:pPr>
        <w:pStyle w:val="Prrafodelista"/>
        <w:numPr>
          <w:ilvl w:val="1"/>
          <w:numId w:val="32"/>
        </w:numPr>
        <w:outlineLvl w:val="2"/>
        <w:rPr>
          <w:rFonts w:cs="Times New Roman"/>
          <w:b/>
          <w:vanish/>
          <w:lang w:val="es-MX"/>
        </w:rPr>
      </w:pPr>
      <w:bookmarkStart w:id="110" w:name="_Toc31612760"/>
      <w:bookmarkStart w:id="111" w:name="_Toc31612792"/>
      <w:bookmarkStart w:id="112" w:name="_Toc31614818"/>
      <w:bookmarkStart w:id="113" w:name="_Toc31614850"/>
      <w:bookmarkStart w:id="114" w:name="_Toc31618687"/>
      <w:bookmarkStart w:id="115" w:name="_Toc31618720"/>
      <w:bookmarkStart w:id="116" w:name="_Toc31624496"/>
      <w:bookmarkStart w:id="117" w:name="_Toc31625348"/>
      <w:bookmarkStart w:id="118" w:name="_Toc31626803"/>
      <w:bookmarkStart w:id="119" w:name="_Toc31811254"/>
      <w:bookmarkStart w:id="120" w:name="_Toc31811699"/>
      <w:bookmarkStart w:id="121" w:name="_Toc31971862"/>
      <w:bookmarkStart w:id="122" w:name="_Toc32230884"/>
      <w:bookmarkStart w:id="123" w:name="_Toc33109783"/>
      <w:bookmarkStart w:id="124" w:name="_Toc33109826"/>
      <w:bookmarkStart w:id="125" w:name="_Toc33180547"/>
      <w:bookmarkStart w:id="126" w:name="_Toc33180641"/>
      <w:bookmarkStart w:id="127" w:name="_Toc33193538"/>
      <w:bookmarkStart w:id="128" w:name="_Toc33193577"/>
      <w:bookmarkStart w:id="129" w:name="_Toc33196774"/>
      <w:bookmarkStart w:id="130" w:name="_Toc40691750"/>
      <w:bookmarkStart w:id="131" w:name="_Toc40959153"/>
      <w:bookmarkStart w:id="132" w:name="_Toc40975987"/>
      <w:bookmarkStart w:id="133" w:name="_Toc40976056"/>
      <w:bookmarkStart w:id="134" w:name="_Toc40993311"/>
      <w:bookmarkStart w:id="135" w:name="_Toc40993693"/>
      <w:bookmarkStart w:id="136" w:name="_Toc41037569"/>
      <w:bookmarkStart w:id="137" w:name="_Toc41254129"/>
      <w:bookmarkStart w:id="138" w:name="_Toc41254161"/>
      <w:bookmarkStart w:id="139" w:name="_Toc41254181"/>
      <w:bookmarkStart w:id="140" w:name="_Toc42023954"/>
      <w:bookmarkStart w:id="141" w:name="_Toc42024007"/>
      <w:bookmarkStart w:id="142" w:name="_Toc42069105"/>
      <w:bookmarkStart w:id="143" w:name="_Toc49422051"/>
      <w:bookmarkStart w:id="144" w:name="_Toc49422077"/>
      <w:bookmarkStart w:id="145" w:name="_Toc49430656"/>
      <w:bookmarkStart w:id="146" w:name="_Toc49430682"/>
      <w:bookmarkStart w:id="147" w:name="_Toc49750459"/>
      <w:bookmarkStart w:id="148" w:name="_Toc49750709"/>
      <w:bookmarkStart w:id="149" w:name="_Toc49750737"/>
      <w:bookmarkStart w:id="150" w:name="_Toc55284823"/>
      <w:bookmarkStart w:id="151" w:name="_Toc55298841"/>
      <w:bookmarkStart w:id="152" w:name="_Toc55373822"/>
      <w:bookmarkStart w:id="153" w:name="_Toc55373995"/>
      <w:bookmarkStart w:id="154" w:name="_Toc55375132"/>
      <w:bookmarkStart w:id="155" w:name="_Toc55396540"/>
      <w:bookmarkStart w:id="156" w:name="_Toc65230536"/>
      <w:bookmarkStart w:id="157" w:name="_Toc65230774"/>
      <w:bookmarkStart w:id="158" w:name="_Toc65232058"/>
      <w:bookmarkStart w:id="159" w:name="_Toc65232303"/>
      <w:bookmarkStart w:id="160" w:name="_Toc66716162"/>
      <w:bookmarkStart w:id="161" w:name="_Toc71097207"/>
      <w:bookmarkStart w:id="162" w:name="_Toc71097238"/>
      <w:bookmarkStart w:id="163" w:name="_Toc71097313"/>
      <w:bookmarkStart w:id="164" w:name="_Toc71108053"/>
      <w:bookmarkStart w:id="165" w:name="_Toc79055247"/>
      <w:bookmarkStart w:id="166" w:name="_Toc79055278"/>
      <w:bookmarkStart w:id="167" w:name="_Toc79060169"/>
      <w:bookmarkStart w:id="168" w:name="_Toc79060456"/>
      <w:bookmarkStart w:id="169" w:name="_Toc81307813"/>
      <w:bookmarkStart w:id="170" w:name="_Toc83376474"/>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p>
    <w:p w14:paraId="7FF88797" w14:textId="77777777" w:rsidR="00E66A98" w:rsidRPr="00AC1506" w:rsidRDefault="00E66A98" w:rsidP="00E66A98">
      <w:pPr>
        <w:pStyle w:val="Prrafodelista"/>
        <w:numPr>
          <w:ilvl w:val="1"/>
          <w:numId w:val="32"/>
        </w:numPr>
        <w:outlineLvl w:val="2"/>
        <w:rPr>
          <w:rFonts w:cs="Times New Roman"/>
          <w:b/>
          <w:vanish/>
          <w:lang w:val="es-MX"/>
        </w:rPr>
      </w:pPr>
      <w:bookmarkStart w:id="171" w:name="_Toc31612761"/>
      <w:bookmarkStart w:id="172" w:name="_Toc31612793"/>
      <w:bookmarkStart w:id="173" w:name="_Toc31614819"/>
      <w:bookmarkStart w:id="174" w:name="_Toc31614851"/>
      <w:bookmarkStart w:id="175" w:name="_Toc31618688"/>
      <w:bookmarkStart w:id="176" w:name="_Toc31618721"/>
      <w:bookmarkStart w:id="177" w:name="_Toc31624497"/>
      <w:bookmarkStart w:id="178" w:name="_Toc31625349"/>
      <w:bookmarkStart w:id="179" w:name="_Toc31626804"/>
      <w:bookmarkStart w:id="180" w:name="_Toc31811255"/>
      <w:bookmarkStart w:id="181" w:name="_Toc31811700"/>
      <w:bookmarkStart w:id="182" w:name="_Toc31971863"/>
      <w:bookmarkStart w:id="183" w:name="_Toc32230885"/>
      <w:bookmarkStart w:id="184" w:name="_Toc33109784"/>
      <w:bookmarkStart w:id="185" w:name="_Toc33109827"/>
      <w:bookmarkStart w:id="186" w:name="_Toc33180548"/>
      <w:bookmarkStart w:id="187" w:name="_Toc33180642"/>
      <w:bookmarkStart w:id="188" w:name="_Toc33193539"/>
      <w:bookmarkStart w:id="189" w:name="_Toc33193578"/>
      <w:bookmarkStart w:id="190" w:name="_Toc33196775"/>
      <w:bookmarkStart w:id="191" w:name="_Toc40691751"/>
      <w:bookmarkStart w:id="192" w:name="_Toc40959154"/>
      <w:bookmarkStart w:id="193" w:name="_Toc40975988"/>
      <w:bookmarkStart w:id="194" w:name="_Toc40976057"/>
      <w:bookmarkStart w:id="195" w:name="_Toc40993312"/>
      <w:bookmarkStart w:id="196" w:name="_Toc40993694"/>
      <w:bookmarkStart w:id="197" w:name="_Toc41037570"/>
      <w:bookmarkStart w:id="198" w:name="_Toc41254130"/>
      <w:bookmarkStart w:id="199" w:name="_Toc41254162"/>
      <w:bookmarkStart w:id="200" w:name="_Toc41254182"/>
      <w:bookmarkStart w:id="201" w:name="_Toc42023955"/>
      <w:bookmarkStart w:id="202" w:name="_Toc42024008"/>
      <w:bookmarkStart w:id="203" w:name="_Toc42069106"/>
      <w:bookmarkStart w:id="204" w:name="_Toc49422052"/>
      <w:bookmarkStart w:id="205" w:name="_Toc49422078"/>
      <w:bookmarkStart w:id="206" w:name="_Toc49430657"/>
      <w:bookmarkStart w:id="207" w:name="_Toc49430683"/>
      <w:bookmarkStart w:id="208" w:name="_Toc49750460"/>
      <w:bookmarkStart w:id="209" w:name="_Toc49750710"/>
      <w:bookmarkStart w:id="210" w:name="_Toc49750738"/>
      <w:bookmarkStart w:id="211" w:name="_Toc55284824"/>
      <w:bookmarkStart w:id="212" w:name="_Toc55298842"/>
      <w:bookmarkStart w:id="213" w:name="_Toc55373823"/>
      <w:bookmarkStart w:id="214" w:name="_Toc55373996"/>
      <w:bookmarkStart w:id="215" w:name="_Toc55375133"/>
      <w:bookmarkStart w:id="216" w:name="_Toc55396541"/>
      <w:bookmarkStart w:id="217" w:name="_Toc65230537"/>
      <w:bookmarkStart w:id="218" w:name="_Toc65230775"/>
      <w:bookmarkStart w:id="219" w:name="_Toc65232059"/>
      <w:bookmarkStart w:id="220" w:name="_Toc65232304"/>
      <w:bookmarkStart w:id="221" w:name="_Toc66716163"/>
      <w:bookmarkStart w:id="222" w:name="_Toc71097208"/>
      <w:bookmarkStart w:id="223" w:name="_Toc71097239"/>
      <w:bookmarkStart w:id="224" w:name="_Toc71097314"/>
      <w:bookmarkStart w:id="225" w:name="_Toc71108054"/>
      <w:bookmarkStart w:id="226" w:name="_Toc79055248"/>
      <w:bookmarkStart w:id="227" w:name="_Toc79055279"/>
      <w:bookmarkStart w:id="228" w:name="_Toc79060170"/>
      <w:bookmarkStart w:id="229" w:name="_Toc79060457"/>
      <w:bookmarkStart w:id="230" w:name="_Toc81307814"/>
      <w:bookmarkStart w:id="231" w:name="_Toc83376475"/>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p>
    <w:p w14:paraId="6FAA4490" w14:textId="5F5B6E6D" w:rsidR="008C0B31" w:rsidRPr="00AC1506" w:rsidRDefault="008C0B31" w:rsidP="00BC50A6">
      <w:pPr>
        <w:pStyle w:val="Prrafodelista"/>
        <w:numPr>
          <w:ilvl w:val="0"/>
          <w:numId w:val="1"/>
        </w:numPr>
        <w:ind w:left="426" w:hanging="426"/>
        <w:outlineLvl w:val="0"/>
        <w:rPr>
          <w:rFonts w:eastAsiaTheme="majorEastAsia" w:cs="Times New Roman"/>
          <w:b/>
          <w:bCs/>
          <w:sz w:val="24"/>
          <w:szCs w:val="26"/>
          <w:lang w:val="es-ES_tradnl" w:eastAsia="es-ES"/>
        </w:rPr>
      </w:pPr>
      <w:bookmarkStart w:id="232" w:name="_Toc83376476"/>
      <w:r w:rsidRPr="00AC1506">
        <w:rPr>
          <w:rFonts w:eastAsiaTheme="majorEastAsia" w:cs="Times New Roman"/>
          <w:b/>
          <w:bCs/>
          <w:sz w:val="24"/>
          <w:szCs w:val="26"/>
          <w:lang w:val="es-ES_tradnl" w:eastAsia="es-ES"/>
        </w:rPr>
        <w:t>Gasto Público</w:t>
      </w:r>
      <w:r w:rsidR="00CE4BA6" w:rsidRPr="00AC1506">
        <w:rPr>
          <w:rFonts w:eastAsiaTheme="majorEastAsia" w:cs="Times New Roman"/>
          <w:b/>
          <w:bCs/>
          <w:sz w:val="24"/>
          <w:szCs w:val="26"/>
          <w:lang w:val="es-ES_tradnl" w:eastAsia="es-ES"/>
        </w:rPr>
        <w:t xml:space="preserve"> del Gobierno Central Presupuestario</w:t>
      </w:r>
      <w:bookmarkEnd w:id="232"/>
    </w:p>
    <w:p w14:paraId="51A82E17" w14:textId="6CB1A785" w:rsidR="0039614C" w:rsidRDefault="0039614C" w:rsidP="00B57C32">
      <w:pPr>
        <w:rPr>
          <w:rFonts w:eastAsiaTheme="majorEastAsia" w:cs="Times New Roman"/>
          <w:b/>
          <w:bCs/>
          <w:sz w:val="24"/>
          <w:szCs w:val="26"/>
          <w:lang w:val="es-ES_tradnl"/>
        </w:rPr>
      </w:pPr>
      <w:r w:rsidRPr="00AC1506">
        <w:rPr>
          <w:rFonts w:eastAsiaTheme="majorEastAsia"/>
          <w:noProof/>
          <w:lang w:eastAsia="es-GT"/>
        </w:rPr>
        <w:drawing>
          <wp:inline distT="0" distB="0" distL="0" distR="0" wp14:anchorId="75D3D81E" wp14:editId="7277C91D">
            <wp:extent cx="5836920" cy="948520"/>
            <wp:effectExtent l="76200" t="57150" r="87630" b="42545"/>
            <wp:docPr id="12" name="Diagrama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14:paraId="72153721" w14:textId="2133B95B" w:rsidR="00770433" w:rsidRPr="00AC1506" w:rsidRDefault="00770433" w:rsidP="00770433">
      <w:pPr>
        <w:pStyle w:val="Prrafodelista"/>
        <w:keepNext/>
        <w:keepLines/>
        <w:numPr>
          <w:ilvl w:val="0"/>
          <w:numId w:val="12"/>
        </w:numPr>
        <w:spacing w:before="200"/>
        <w:contextualSpacing w:val="0"/>
        <w:outlineLvl w:val="1"/>
        <w:rPr>
          <w:rFonts w:eastAsiaTheme="majorEastAsia" w:cs="Times New Roman"/>
          <w:b/>
          <w:bCs/>
          <w:vanish/>
          <w:sz w:val="24"/>
          <w:szCs w:val="26"/>
          <w:lang w:val="es-ES_tradnl" w:eastAsia="es-ES"/>
        </w:rPr>
      </w:pPr>
      <w:bookmarkStart w:id="233" w:name="_Toc471986932"/>
      <w:bookmarkStart w:id="234" w:name="_Toc471987067"/>
      <w:bookmarkStart w:id="235" w:name="_Toc471987115"/>
      <w:bookmarkStart w:id="236" w:name="_Toc471987137"/>
      <w:bookmarkStart w:id="237" w:name="_Toc472082165"/>
      <w:bookmarkStart w:id="238" w:name="_Toc472082197"/>
      <w:bookmarkStart w:id="239" w:name="_Toc472089913"/>
      <w:bookmarkStart w:id="240" w:name="_Toc472089936"/>
      <w:bookmarkStart w:id="241" w:name="_Toc505346063"/>
      <w:bookmarkStart w:id="242" w:name="_Toc505349878"/>
      <w:bookmarkStart w:id="243" w:name="_Toc534985836"/>
      <w:bookmarkStart w:id="244" w:name="_Toc534988229"/>
      <w:bookmarkStart w:id="245" w:name="_Toc31611549"/>
      <w:bookmarkStart w:id="246" w:name="_Toc31612768"/>
      <w:bookmarkStart w:id="247" w:name="_Toc31612800"/>
      <w:bookmarkStart w:id="248" w:name="_Toc31614826"/>
      <w:bookmarkStart w:id="249" w:name="_Toc31614858"/>
      <w:bookmarkStart w:id="250" w:name="_Toc31618695"/>
      <w:bookmarkStart w:id="251" w:name="_Toc31618728"/>
      <w:bookmarkStart w:id="252" w:name="_Toc31624504"/>
      <w:bookmarkStart w:id="253" w:name="_Toc31625356"/>
      <w:bookmarkStart w:id="254" w:name="_Toc31626811"/>
      <w:bookmarkStart w:id="255" w:name="_Toc31811262"/>
      <w:bookmarkStart w:id="256" w:name="_Toc31811707"/>
      <w:bookmarkStart w:id="257" w:name="_Toc31971870"/>
      <w:bookmarkStart w:id="258" w:name="_Toc32230892"/>
      <w:bookmarkStart w:id="259" w:name="_Toc33109788"/>
      <w:bookmarkStart w:id="260" w:name="_Toc33109831"/>
      <w:bookmarkStart w:id="261" w:name="_Toc33180552"/>
      <w:bookmarkStart w:id="262" w:name="_Toc33180646"/>
      <w:bookmarkStart w:id="263" w:name="_Toc33193543"/>
      <w:bookmarkStart w:id="264" w:name="_Toc33193582"/>
      <w:bookmarkStart w:id="265" w:name="_Toc33196779"/>
      <w:bookmarkStart w:id="266" w:name="_Toc40691755"/>
      <w:bookmarkStart w:id="267" w:name="_Toc40959156"/>
      <w:bookmarkStart w:id="268" w:name="_Toc40975990"/>
      <w:bookmarkStart w:id="269" w:name="_Toc40976059"/>
      <w:bookmarkStart w:id="270" w:name="_Toc40993314"/>
      <w:bookmarkStart w:id="271" w:name="_Toc40993696"/>
      <w:bookmarkStart w:id="272" w:name="_Toc41037572"/>
      <w:bookmarkStart w:id="273" w:name="_Toc41254132"/>
      <w:bookmarkStart w:id="274" w:name="_Toc41254164"/>
      <w:bookmarkStart w:id="275" w:name="_Toc41254184"/>
      <w:bookmarkStart w:id="276" w:name="_Toc42023958"/>
      <w:bookmarkStart w:id="277" w:name="_Toc42024010"/>
      <w:bookmarkStart w:id="278" w:name="_Toc42069108"/>
      <w:bookmarkStart w:id="279" w:name="_Toc49422054"/>
      <w:bookmarkStart w:id="280" w:name="_Toc49422080"/>
      <w:bookmarkStart w:id="281" w:name="_Toc49430659"/>
      <w:bookmarkStart w:id="282" w:name="_Toc49430685"/>
      <w:bookmarkStart w:id="283" w:name="_Toc49750462"/>
      <w:bookmarkStart w:id="284" w:name="_Toc49750712"/>
      <w:bookmarkStart w:id="285" w:name="_Toc49750740"/>
      <w:bookmarkStart w:id="286" w:name="_Toc55284826"/>
      <w:bookmarkStart w:id="287" w:name="_Toc55298844"/>
      <w:bookmarkStart w:id="288" w:name="_Toc55373825"/>
      <w:bookmarkStart w:id="289" w:name="_Toc55373998"/>
      <w:bookmarkStart w:id="290" w:name="_Toc55375135"/>
      <w:bookmarkStart w:id="291" w:name="_Toc55396543"/>
      <w:bookmarkStart w:id="292" w:name="_Toc65230539"/>
      <w:bookmarkStart w:id="293" w:name="_Toc65230777"/>
      <w:bookmarkStart w:id="294" w:name="_Toc65232061"/>
      <w:bookmarkStart w:id="295" w:name="_Toc65232306"/>
      <w:bookmarkStart w:id="296" w:name="_Toc66716165"/>
      <w:bookmarkStart w:id="297" w:name="_Toc71097210"/>
      <w:bookmarkStart w:id="298" w:name="_Toc71097241"/>
      <w:bookmarkStart w:id="299" w:name="_Toc71097316"/>
      <w:bookmarkStart w:id="300" w:name="_Toc71108056"/>
      <w:bookmarkStart w:id="301" w:name="_Toc79055250"/>
      <w:bookmarkStart w:id="302" w:name="_Toc79055281"/>
      <w:bookmarkStart w:id="303" w:name="_Toc79060172"/>
      <w:bookmarkStart w:id="304" w:name="_Toc79060459"/>
      <w:bookmarkStart w:id="305" w:name="_Toc81307816"/>
      <w:bookmarkStart w:id="306" w:name="_Toc83376477"/>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p>
    <w:p w14:paraId="32F0DFB4" w14:textId="77777777" w:rsidR="00770433" w:rsidRPr="00AC1506" w:rsidRDefault="00770433" w:rsidP="00770433">
      <w:pPr>
        <w:pStyle w:val="Prrafodelista"/>
        <w:keepNext/>
        <w:keepLines/>
        <w:numPr>
          <w:ilvl w:val="0"/>
          <w:numId w:val="12"/>
        </w:numPr>
        <w:spacing w:before="200"/>
        <w:contextualSpacing w:val="0"/>
        <w:outlineLvl w:val="1"/>
        <w:rPr>
          <w:rFonts w:eastAsiaTheme="majorEastAsia" w:cs="Times New Roman"/>
          <w:b/>
          <w:bCs/>
          <w:vanish/>
          <w:sz w:val="24"/>
          <w:szCs w:val="26"/>
          <w:lang w:val="es-ES_tradnl" w:eastAsia="es-ES"/>
        </w:rPr>
      </w:pPr>
      <w:bookmarkStart w:id="307" w:name="_Toc472082166"/>
      <w:bookmarkStart w:id="308" w:name="_Toc472082198"/>
      <w:bookmarkStart w:id="309" w:name="_Toc472089914"/>
      <w:bookmarkStart w:id="310" w:name="_Toc472089937"/>
      <w:bookmarkStart w:id="311" w:name="_Toc505346064"/>
      <w:bookmarkStart w:id="312" w:name="_Toc505349879"/>
      <w:bookmarkStart w:id="313" w:name="_Toc534985837"/>
      <w:bookmarkStart w:id="314" w:name="_Toc534988230"/>
      <w:bookmarkStart w:id="315" w:name="_Toc31611550"/>
      <w:bookmarkStart w:id="316" w:name="_Toc31612769"/>
      <w:bookmarkStart w:id="317" w:name="_Toc31612801"/>
      <w:bookmarkStart w:id="318" w:name="_Toc31614827"/>
      <w:bookmarkStart w:id="319" w:name="_Toc31614859"/>
      <w:bookmarkStart w:id="320" w:name="_Toc31618696"/>
      <w:bookmarkStart w:id="321" w:name="_Toc31618729"/>
      <w:bookmarkStart w:id="322" w:name="_Toc31624505"/>
      <w:bookmarkStart w:id="323" w:name="_Toc31625357"/>
      <w:bookmarkStart w:id="324" w:name="_Toc31626812"/>
      <w:bookmarkStart w:id="325" w:name="_Toc31811263"/>
      <w:bookmarkStart w:id="326" w:name="_Toc31811708"/>
      <w:bookmarkStart w:id="327" w:name="_Toc31971871"/>
      <w:bookmarkStart w:id="328" w:name="_Toc32230893"/>
      <w:bookmarkStart w:id="329" w:name="_Toc33109789"/>
      <w:bookmarkStart w:id="330" w:name="_Toc33109832"/>
      <w:bookmarkStart w:id="331" w:name="_Toc33180553"/>
      <w:bookmarkStart w:id="332" w:name="_Toc33180647"/>
      <w:bookmarkStart w:id="333" w:name="_Toc33193544"/>
      <w:bookmarkStart w:id="334" w:name="_Toc33193583"/>
      <w:bookmarkStart w:id="335" w:name="_Toc33196780"/>
      <w:bookmarkStart w:id="336" w:name="_Toc40691756"/>
      <w:bookmarkStart w:id="337" w:name="_Toc40959157"/>
      <w:bookmarkStart w:id="338" w:name="_Toc40975991"/>
      <w:bookmarkStart w:id="339" w:name="_Toc40976060"/>
      <w:bookmarkStart w:id="340" w:name="_Toc40993315"/>
      <w:bookmarkStart w:id="341" w:name="_Toc40993697"/>
      <w:bookmarkStart w:id="342" w:name="_Toc41037573"/>
      <w:bookmarkStart w:id="343" w:name="_Toc41254133"/>
      <w:bookmarkStart w:id="344" w:name="_Toc41254165"/>
      <w:bookmarkStart w:id="345" w:name="_Toc41254185"/>
      <w:bookmarkStart w:id="346" w:name="_Toc42023959"/>
      <w:bookmarkStart w:id="347" w:name="_Toc42024011"/>
      <w:bookmarkStart w:id="348" w:name="_Toc42069109"/>
      <w:bookmarkStart w:id="349" w:name="_Toc49422055"/>
      <w:bookmarkStart w:id="350" w:name="_Toc49422081"/>
      <w:bookmarkStart w:id="351" w:name="_Toc49430660"/>
      <w:bookmarkStart w:id="352" w:name="_Toc49430686"/>
      <w:bookmarkStart w:id="353" w:name="_Toc49750463"/>
      <w:bookmarkStart w:id="354" w:name="_Toc49750713"/>
      <w:bookmarkStart w:id="355" w:name="_Toc49750741"/>
      <w:bookmarkStart w:id="356" w:name="_Toc55284827"/>
      <w:bookmarkStart w:id="357" w:name="_Toc55298845"/>
      <w:bookmarkStart w:id="358" w:name="_Toc55373826"/>
      <w:bookmarkStart w:id="359" w:name="_Toc55373999"/>
      <w:bookmarkStart w:id="360" w:name="_Toc55375136"/>
      <w:bookmarkStart w:id="361" w:name="_Toc55396544"/>
      <w:bookmarkStart w:id="362" w:name="_Toc65230540"/>
      <w:bookmarkStart w:id="363" w:name="_Toc65230778"/>
      <w:bookmarkStart w:id="364" w:name="_Toc65232062"/>
      <w:bookmarkStart w:id="365" w:name="_Toc65232307"/>
      <w:bookmarkStart w:id="366" w:name="_Toc66716166"/>
      <w:bookmarkStart w:id="367" w:name="_Toc71097211"/>
      <w:bookmarkStart w:id="368" w:name="_Toc71097242"/>
      <w:bookmarkStart w:id="369" w:name="_Toc71097317"/>
      <w:bookmarkStart w:id="370" w:name="_Toc71108057"/>
      <w:bookmarkStart w:id="371" w:name="_Toc79055251"/>
      <w:bookmarkStart w:id="372" w:name="_Toc79055282"/>
      <w:bookmarkStart w:id="373" w:name="_Toc79060173"/>
      <w:bookmarkStart w:id="374" w:name="_Toc79060460"/>
      <w:bookmarkStart w:id="375" w:name="_Toc81307817"/>
      <w:bookmarkStart w:id="376" w:name="_Toc83376478"/>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p>
    <w:p w14:paraId="70696646" w14:textId="34754443" w:rsidR="00AF2B4E" w:rsidRPr="008D0075" w:rsidRDefault="00BB55F5" w:rsidP="008C33ED">
      <w:pPr>
        <w:pStyle w:val="Ttulo2"/>
        <w:numPr>
          <w:ilvl w:val="1"/>
          <w:numId w:val="12"/>
        </w:numPr>
        <w:tabs>
          <w:tab w:val="left" w:pos="426"/>
        </w:tabs>
        <w:spacing w:before="0"/>
        <w:ind w:left="284" w:hanging="284"/>
        <w:rPr>
          <w:rFonts w:cs="Times New Roman"/>
          <w:szCs w:val="22"/>
        </w:rPr>
        <w:sectPr w:rsidR="00AF2B4E" w:rsidRPr="008D0075" w:rsidSect="00CB498E">
          <w:headerReference w:type="default" r:id="rId22"/>
          <w:footerReference w:type="default" r:id="rId23"/>
          <w:headerReference w:type="first" r:id="rId24"/>
          <w:footerReference w:type="first" r:id="rId25"/>
          <w:pgSz w:w="12240" w:h="15840" w:code="1"/>
          <w:pgMar w:top="1418" w:right="1418" w:bottom="1418" w:left="1418" w:header="709" w:footer="709" w:gutter="0"/>
          <w:pgNumType w:start="0"/>
          <w:cols w:space="708"/>
          <w:titlePg/>
          <w:docGrid w:linePitch="360"/>
        </w:sectPr>
      </w:pPr>
      <w:bookmarkStart w:id="377" w:name="_Toc83376479"/>
      <w:r>
        <w:rPr>
          <w:rFonts w:ascii="Times New Roman" w:hAnsi="Times New Roman" w:cs="Times New Roman"/>
          <w:color w:val="auto"/>
          <w:sz w:val="24"/>
        </w:rPr>
        <w:t xml:space="preserve">Ejecución de gasto público </w:t>
      </w:r>
      <w:r w:rsidR="00246F23">
        <w:rPr>
          <w:rFonts w:ascii="Times New Roman" w:hAnsi="Times New Roman" w:cs="Times New Roman"/>
          <w:color w:val="auto"/>
          <w:sz w:val="24"/>
        </w:rPr>
        <w:t xml:space="preserve">con </w:t>
      </w:r>
      <w:r w:rsidR="006934ED">
        <w:rPr>
          <w:rFonts w:ascii="Times New Roman" w:hAnsi="Times New Roman" w:cs="Times New Roman"/>
          <w:color w:val="auto"/>
          <w:sz w:val="24"/>
        </w:rPr>
        <w:t>leve crecimiento</w:t>
      </w:r>
      <w:bookmarkEnd w:id="377"/>
    </w:p>
    <w:p w14:paraId="21B7C1BF" w14:textId="7DD64404" w:rsidR="007A1C1D" w:rsidRDefault="00361010" w:rsidP="00CD34D6">
      <w:pPr>
        <w:rPr>
          <w:rFonts w:cs="Times New Roman"/>
          <w:szCs w:val="22"/>
        </w:rPr>
      </w:pPr>
      <w:r w:rsidRPr="00AC1506">
        <w:rPr>
          <w:rFonts w:cs="Times New Roman"/>
          <w:noProof/>
          <w:lang w:eastAsia="es-GT"/>
        </w:rPr>
        <w:drawing>
          <wp:anchor distT="0" distB="0" distL="114300" distR="114300" simplePos="0" relativeHeight="251658246" behindDoc="0" locked="0" layoutInCell="1" allowOverlap="1" wp14:anchorId="3C69339C" wp14:editId="761CF36C">
            <wp:simplePos x="0" y="0"/>
            <wp:positionH relativeFrom="column">
              <wp:posOffset>3064247</wp:posOffset>
            </wp:positionH>
            <wp:positionV relativeFrom="paragraph">
              <wp:posOffset>3175</wp:posOffset>
            </wp:positionV>
            <wp:extent cx="2845435" cy="1850390"/>
            <wp:effectExtent l="0" t="0" r="0" b="16510"/>
            <wp:wrapSquare wrapText="bothSides"/>
            <wp:docPr id="13" name="Gráfico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margin">
              <wp14:pctWidth>0</wp14:pctWidth>
            </wp14:sizeRelH>
            <wp14:sizeRelV relativeFrom="margin">
              <wp14:pctHeight>0</wp14:pctHeight>
            </wp14:sizeRelV>
          </wp:anchor>
        </w:drawing>
      </w:r>
      <w:r w:rsidR="00BD54E7">
        <w:rPr>
          <w:rFonts w:cs="Times New Roman"/>
          <w:szCs w:val="22"/>
        </w:rPr>
        <w:t xml:space="preserve">En el </w:t>
      </w:r>
      <w:r w:rsidR="00C925F3">
        <w:rPr>
          <w:rFonts w:cs="Times New Roman"/>
          <w:szCs w:val="22"/>
        </w:rPr>
        <w:t>segundo</w:t>
      </w:r>
      <w:r w:rsidR="00BD54E7">
        <w:rPr>
          <w:rFonts w:cs="Times New Roman"/>
          <w:szCs w:val="22"/>
        </w:rPr>
        <w:t xml:space="preserve"> trimestre del 2021 se observó </w:t>
      </w:r>
      <w:r w:rsidR="006934ED">
        <w:rPr>
          <w:rFonts w:cs="Times New Roman"/>
          <w:szCs w:val="22"/>
        </w:rPr>
        <w:t xml:space="preserve">una variación interanual </w:t>
      </w:r>
      <w:r w:rsidR="00241721">
        <w:rPr>
          <w:rFonts w:cs="Times New Roman"/>
          <w:szCs w:val="22"/>
        </w:rPr>
        <w:t>acumulada del 4.0%</w:t>
      </w:r>
      <w:r w:rsidR="0013608E">
        <w:rPr>
          <w:rFonts w:cs="Times New Roman"/>
          <w:szCs w:val="22"/>
        </w:rPr>
        <w:t xml:space="preserve"> y cabe mencionar que </w:t>
      </w:r>
      <w:r w:rsidR="007F0641">
        <w:rPr>
          <w:rFonts w:cs="Times New Roman"/>
          <w:szCs w:val="22"/>
        </w:rPr>
        <w:t xml:space="preserve">durante </w:t>
      </w:r>
      <w:r w:rsidR="00493678">
        <w:rPr>
          <w:rFonts w:cs="Times New Roman"/>
          <w:szCs w:val="22"/>
        </w:rPr>
        <w:t>los meses de abril y mayo</w:t>
      </w:r>
      <w:r w:rsidR="00D762A9">
        <w:rPr>
          <w:rFonts w:cs="Times New Roman"/>
          <w:szCs w:val="22"/>
        </w:rPr>
        <w:t xml:space="preserve"> </w:t>
      </w:r>
      <w:r w:rsidR="00B65F5E">
        <w:rPr>
          <w:rFonts w:cs="Times New Roman"/>
          <w:szCs w:val="22"/>
        </w:rPr>
        <w:t>las variaciones acumuladas fueron</w:t>
      </w:r>
      <w:r w:rsidR="00D762A9">
        <w:rPr>
          <w:rFonts w:cs="Times New Roman"/>
          <w:szCs w:val="22"/>
        </w:rPr>
        <w:t xml:space="preserve"> del 9.9% y </w:t>
      </w:r>
      <w:r w:rsidR="00CA4B2C">
        <w:rPr>
          <w:rFonts w:cs="Times New Roman"/>
          <w:szCs w:val="22"/>
        </w:rPr>
        <w:t>del 12.2</w:t>
      </w:r>
      <w:r w:rsidR="00A67385">
        <w:rPr>
          <w:rFonts w:cs="Times New Roman"/>
          <w:szCs w:val="22"/>
        </w:rPr>
        <w:t>%</w:t>
      </w:r>
      <w:r w:rsidR="00A25296">
        <w:rPr>
          <w:rFonts w:cs="Times New Roman"/>
          <w:szCs w:val="22"/>
        </w:rPr>
        <w:t xml:space="preserve"> respectivamente, pero e</w:t>
      </w:r>
      <w:r w:rsidR="0013608E">
        <w:rPr>
          <w:rFonts w:cs="Times New Roman"/>
          <w:szCs w:val="22"/>
        </w:rPr>
        <w:t xml:space="preserve">n buena medida </w:t>
      </w:r>
      <w:r w:rsidR="00A25296">
        <w:rPr>
          <w:rFonts w:cs="Times New Roman"/>
          <w:szCs w:val="22"/>
        </w:rPr>
        <w:t xml:space="preserve">estas tasas de crecimiento </w:t>
      </w:r>
      <w:r w:rsidR="0013608E">
        <w:rPr>
          <w:rFonts w:cs="Times New Roman"/>
          <w:szCs w:val="22"/>
        </w:rPr>
        <w:t xml:space="preserve">se </w:t>
      </w:r>
      <w:r w:rsidR="00A67385">
        <w:rPr>
          <w:rFonts w:cs="Times New Roman"/>
          <w:szCs w:val="22"/>
        </w:rPr>
        <w:t>explica</w:t>
      </w:r>
      <w:r w:rsidR="0018117D">
        <w:rPr>
          <w:rFonts w:cs="Times New Roman"/>
          <w:szCs w:val="22"/>
        </w:rPr>
        <w:t>n</w:t>
      </w:r>
      <w:r w:rsidR="0013608E">
        <w:rPr>
          <w:rFonts w:cs="Times New Roman"/>
          <w:szCs w:val="22"/>
        </w:rPr>
        <w:t xml:space="preserve"> </w:t>
      </w:r>
      <w:r w:rsidR="0018117D">
        <w:rPr>
          <w:rFonts w:cs="Times New Roman"/>
          <w:szCs w:val="22"/>
        </w:rPr>
        <w:t xml:space="preserve">por qué </w:t>
      </w:r>
      <w:r w:rsidR="0013608E">
        <w:rPr>
          <w:rFonts w:cs="Times New Roman"/>
          <w:szCs w:val="22"/>
        </w:rPr>
        <w:t xml:space="preserve">durante del año previo, </w:t>
      </w:r>
      <w:r w:rsidR="00D12DCC">
        <w:rPr>
          <w:rFonts w:cs="Times New Roman"/>
          <w:szCs w:val="22"/>
        </w:rPr>
        <w:t xml:space="preserve">el gasto público se </w:t>
      </w:r>
      <w:r w:rsidR="0018117D">
        <w:rPr>
          <w:rFonts w:cs="Times New Roman"/>
          <w:szCs w:val="22"/>
        </w:rPr>
        <w:t xml:space="preserve">había visto </w:t>
      </w:r>
      <w:r w:rsidR="00D12DCC">
        <w:rPr>
          <w:rFonts w:cs="Times New Roman"/>
          <w:szCs w:val="22"/>
        </w:rPr>
        <w:t>afectad</w:t>
      </w:r>
      <w:r w:rsidR="0018117D">
        <w:rPr>
          <w:rFonts w:cs="Times New Roman"/>
          <w:szCs w:val="22"/>
        </w:rPr>
        <w:t>o</w:t>
      </w:r>
      <w:r w:rsidR="00D12DCC">
        <w:rPr>
          <w:rFonts w:cs="Times New Roman"/>
          <w:szCs w:val="22"/>
        </w:rPr>
        <w:t xml:space="preserve"> por el inicio de la Pandemia del Covid-19</w:t>
      </w:r>
      <w:r w:rsidR="00985327">
        <w:rPr>
          <w:rFonts w:cs="Times New Roman"/>
          <w:szCs w:val="22"/>
        </w:rPr>
        <w:t xml:space="preserve"> y las medidas de cierre que fueron </w:t>
      </w:r>
      <w:r w:rsidR="0028289F">
        <w:rPr>
          <w:rFonts w:cs="Times New Roman"/>
          <w:szCs w:val="22"/>
        </w:rPr>
        <w:t>adoptadas</w:t>
      </w:r>
      <w:r w:rsidR="008C5BC3">
        <w:rPr>
          <w:rFonts w:cs="Times New Roman"/>
          <w:szCs w:val="22"/>
        </w:rPr>
        <w:t>.</w:t>
      </w:r>
      <w:r w:rsidR="00B65F5E">
        <w:rPr>
          <w:rFonts w:cs="Times New Roman"/>
          <w:szCs w:val="22"/>
        </w:rPr>
        <w:t xml:space="preserve"> </w:t>
      </w:r>
      <w:r w:rsidR="00BC492F">
        <w:rPr>
          <w:rFonts w:cs="Times New Roman"/>
          <w:szCs w:val="22"/>
        </w:rPr>
        <w:t xml:space="preserve">El gasto total </w:t>
      </w:r>
      <w:r w:rsidR="00493678">
        <w:rPr>
          <w:rFonts w:cs="Times New Roman"/>
          <w:szCs w:val="22"/>
        </w:rPr>
        <w:t xml:space="preserve">a </w:t>
      </w:r>
      <w:r w:rsidR="00784F7E">
        <w:rPr>
          <w:rFonts w:cs="Times New Roman"/>
          <w:szCs w:val="22"/>
        </w:rPr>
        <w:t>junio</w:t>
      </w:r>
      <w:r w:rsidR="00493678">
        <w:rPr>
          <w:rFonts w:cs="Times New Roman"/>
          <w:szCs w:val="22"/>
        </w:rPr>
        <w:t xml:space="preserve"> </w:t>
      </w:r>
      <w:r w:rsidR="007D3827">
        <w:rPr>
          <w:rFonts w:cs="Times New Roman"/>
          <w:szCs w:val="22"/>
        </w:rPr>
        <w:t>asciende a Q</w:t>
      </w:r>
      <w:r w:rsidR="00291993">
        <w:rPr>
          <w:rFonts w:cs="Times New Roman"/>
          <w:szCs w:val="22"/>
        </w:rPr>
        <w:t>39</w:t>
      </w:r>
      <w:r w:rsidR="007D3827">
        <w:rPr>
          <w:rFonts w:cs="Times New Roman"/>
          <w:szCs w:val="22"/>
        </w:rPr>
        <w:t>,</w:t>
      </w:r>
      <w:r w:rsidR="00291993">
        <w:rPr>
          <w:rFonts w:cs="Times New Roman"/>
          <w:szCs w:val="22"/>
        </w:rPr>
        <w:t>4</w:t>
      </w:r>
      <w:r w:rsidR="0028289F">
        <w:rPr>
          <w:rFonts w:cs="Times New Roman"/>
          <w:szCs w:val="22"/>
        </w:rPr>
        <w:t>09</w:t>
      </w:r>
      <w:r w:rsidR="00291993">
        <w:rPr>
          <w:rFonts w:cs="Times New Roman"/>
          <w:szCs w:val="22"/>
        </w:rPr>
        <w:t>.</w:t>
      </w:r>
      <w:r w:rsidR="0028289F">
        <w:rPr>
          <w:rFonts w:cs="Times New Roman"/>
          <w:szCs w:val="22"/>
        </w:rPr>
        <w:t>5</w:t>
      </w:r>
      <w:r w:rsidR="007D3827">
        <w:rPr>
          <w:rFonts w:cs="Times New Roman"/>
          <w:szCs w:val="22"/>
        </w:rPr>
        <w:t xml:space="preserve"> millones</w:t>
      </w:r>
      <w:r w:rsidR="00784F7E">
        <w:rPr>
          <w:rFonts w:cs="Times New Roman"/>
          <w:szCs w:val="22"/>
        </w:rPr>
        <w:t>,</w:t>
      </w:r>
      <w:r w:rsidR="00291993">
        <w:rPr>
          <w:rFonts w:cs="Times New Roman"/>
          <w:szCs w:val="22"/>
        </w:rPr>
        <w:t xml:space="preserve"> siendo un crecimiento </w:t>
      </w:r>
      <w:r w:rsidR="006C3577">
        <w:rPr>
          <w:rFonts w:cs="Times New Roman"/>
          <w:szCs w:val="22"/>
        </w:rPr>
        <w:t>interanual acumulad</w:t>
      </w:r>
      <w:r w:rsidR="00291993">
        <w:rPr>
          <w:rFonts w:cs="Times New Roman"/>
          <w:szCs w:val="22"/>
        </w:rPr>
        <w:t>o</w:t>
      </w:r>
      <w:r w:rsidR="006C3577">
        <w:rPr>
          <w:rFonts w:cs="Times New Roman"/>
          <w:szCs w:val="22"/>
        </w:rPr>
        <w:t xml:space="preserve"> del </w:t>
      </w:r>
      <w:r w:rsidR="00784F7E">
        <w:rPr>
          <w:rFonts w:cs="Times New Roman"/>
          <w:szCs w:val="22"/>
        </w:rPr>
        <w:t>4.0</w:t>
      </w:r>
      <w:r w:rsidR="009E13AC">
        <w:rPr>
          <w:rFonts w:cs="Times New Roman"/>
          <w:szCs w:val="22"/>
        </w:rPr>
        <w:t>% (Q</w:t>
      </w:r>
      <w:r w:rsidR="00797A95">
        <w:rPr>
          <w:rFonts w:cs="Times New Roman"/>
          <w:szCs w:val="22"/>
        </w:rPr>
        <w:t>1,5</w:t>
      </w:r>
      <w:r w:rsidR="007149A9">
        <w:rPr>
          <w:rFonts w:cs="Times New Roman"/>
          <w:szCs w:val="22"/>
        </w:rPr>
        <w:t>19</w:t>
      </w:r>
      <w:r w:rsidR="009E13AC">
        <w:rPr>
          <w:rFonts w:cs="Times New Roman"/>
          <w:szCs w:val="22"/>
        </w:rPr>
        <w:t>.</w:t>
      </w:r>
      <w:r w:rsidR="007149A9">
        <w:rPr>
          <w:rFonts w:cs="Times New Roman"/>
          <w:szCs w:val="22"/>
        </w:rPr>
        <w:t>3</w:t>
      </w:r>
      <w:r w:rsidR="009E13AC">
        <w:rPr>
          <w:rFonts w:cs="Times New Roman"/>
          <w:szCs w:val="22"/>
        </w:rPr>
        <w:t xml:space="preserve"> millones).</w:t>
      </w:r>
      <w:r w:rsidR="008A5A7E">
        <w:rPr>
          <w:rFonts w:cs="Times New Roman"/>
          <w:szCs w:val="22"/>
        </w:rPr>
        <w:t xml:space="preserve"> </w:t>
      </w:r>
      <w:r w:rsidR="009B2C54">
        <w:rPr>
          <w:rFonts w:cs="Times New Roman"/>
          <w:szCs w:val="22"/>
        </w:rPr>
        <w:t xml:space="preserve">El mayor incremento se produce en el uso de bienes y </w:t>
      </w:r>
      <w:r w:rsidR="0076244C">
        <w:rPr>
          <w:rFonts w:cs="Times New Roman"/>
          <w:szCs w:val="22"/>
        </w:rPr>
        <w:t>servicios el</w:t>
      </w:r>
      <w:r w:rsidR="00C36327">
        <w:rPr>
          <w:rFonts w:cs="Times New Roman"/>
          <w:szCs w:val="22"/>
        </w:rPr>
        <w:t xml:space="preserve"> cual tiene </w:t>
      </w:r>
      <w:r w:rsidR="004D3946">
        <w:rPr>
          <w:rFonts w:cs="Times New Roman"/>
          <w:szCs w:val="22"/>
        </w:rPr>
        <w:t>una variación interanual</w:t>
      </w:r>
      <w:r w:rsidR="00C36327">
        <w:rPr>
          <w:rFonts w:cs="Times New Roman"/>
          <w:szCs w:val="22"/>
        </w:rPr>
        <w:t xml:space="preserve"> del 6</w:t>
      </w:r>
      <w:r w:rsidR="00FC1A82">
        <w:rPr>
          <w:rFonts w:cs="Times New Roman"/>
          <w:szCs w:val="22"/>
        </w:rPr>
        <w:t>5</w:t>
      </w:r>
      <w:r w:rsidR="00C36327">
        <w:rPr>
          <w:rFonts w:cs="Times New Roman"/>
          <w:szCs w:val="22"/>
        </w:rPr>
        <w:t>.</w:t>
      </w:r>
      <w:r w:rsidR="00FC1A82">
        <w:rPr>
          <w:rFonts w:cs="Times New Roman"/>
          <w:szCs w:val="22"/>
        </w:rPr>
        <w:t>2</w:t>
      </w:r>
      <w:r w:rsidR="00C36327">
        <w:rPr>
          <w:rFonts w:cs="Times New Roman"/>
          <w:szCs w:val="22"/>
        </w:rPr>
        <w:t>% (Q2,0</w:t>
      </w:r>
      <w:r w:rsidR="00CA02D0">
        <w:rPr>
          <w:rFonts w:cs="Times New Roman"/>
          <w:szCs w:val="22"/>
        </w:rPr>
        <w:t>52</w:t>
      </w:r>
      <w:r w:rsidR="00C36327">
        <w:rPr>
          <w:rFonts w:cs="Times New Roman"/>
          <w:szCs w:val="22"/>
        </w:rPr>
        <w:t>.</w:t>
      </w:r>
      <w:r w:rsidR="00CA02D0">
        <w:rPr>
          <w:rFonts w:cs="Times New Roman"/>
          <w:szCs w:val="22"/>
        </w:rPr>
        <w:t>4</w:t>
      </w:r>
      <w:r w:rsidR="00C36327">
        <w:rPr>
          <w:rFonts w:cs="Times New Roman"/>
          <w:szCs w:val="22"/>
        </w:rPr>
        <w:t xml:space="preserve"> millones)</w:t>
      </w:r>
      <w:r w:rsidR="00713A65">
        <w:rPr>
          <w:rFonts w:cs="Times New Roman"/>
          <w:szCs w:val="22"/>
        </w:rPr>
        <w:t>,</w:t>
      </w:r>
      <w:r w:rsidR="00C36327">
        <w:rPr>
          <w:rFonts w:cs="Times New Roman"/>
          <w:szCs w:val="22"/>
        </w:rPr>
        <w:t xml:space="preserve"> </w:t>
      </w:r>
      <w:r w:rsidR="00EE43F3">
        <w:rPr>
          <w:rFonts w:cs="Times New Roman"/>
          <w:szCs w:val="22"/>
        </w:rPr>
        <w:t xml:space="preserve">seguido por los gastos destinados al pago de intereses el cual tiene una variación </w:t>
      </w:r>
      <w:r w:rsidR="001D1D27">
        <w:rPr>
          <w:rFonts w:cs="Times New Roman"/>
          <w:szCs w:val="22"/>
        </w:rPr>
        <w:t>del 15.</w:t>
      </w:r>
      <w:r w:rsidR="00DF6684">
        <w:rPr>
          <w:rFonts w:cs="Times New Roman"/>
          <w:szCs w:val="22"/>
        </w:rPr>
        <w:t>8</w:t>
      </w:r>
      <w:r w:rsidR="001D1D27">
        <w:rPr>
          <w:rFonts w:cs="Times New Roman"/>
          <w:szCs w:val="22"/>
        </w:rPr>
        <w:t>% (Q75</w:t>
      </w:r>
      <w:r w:rsidR="00DF6684">
        <w:rPr>
          <w:rFonts w:cs="Times New Roman"/>
          <w:szCs w:val="22"/>
        </w:rPr>
        <w:t>1</w:t>
      </w:r>
      <w:r w:rsidR="001D1D27">
        <w:rPr>
          <w:rFonts w:cs="Times New Roman"/>
          <w:szCs w:val="22"/>
        </w:rPr>
        <w:t>.</w:t>
      </w:r>
      <w:r w:rsidR="00DF6684">
        <w:rPr>
          <w:rFonts w:cs="Times New Roman"/>
          <w:szCs w:val="22"/>
        </w:rPr>
        <w:t>9</w:t>
      </w:r>
      <w:r w:rsidR="001D1D27">
        <w:rPr>
          <w:rFonts w:cs="Times New Roman"/>
          <w:szCs w:val="22"/>
        </w:rPr>
        <w:t xml:space="preserve"> millones) </w:t>
      </w:r>
      <w:r w:rsidR="006D5A84">
        <w:rPr>
          <w:rFonts w:cs="Times New Roman"/>
          <w:szCs w:val="22"/>
        </w:rPr>
        <w:t>respecto al mismo periodo del año anterior</w:t>
      </w:r>
      <w:r w:rsidR="004D3946">
        <w:rPr>
          <w:rFonts w:cs="Times New Roman"/>
          <w:szCs w:val="22"/>
        </w:rPr>
        <w:t>. Las donaciones t</w:t>
      </w:r>
      <w:r w:rsidR="004D535D">
        <w:rPr>
          <w:rFonts w:cs="Times New Roman"/>
          <w:szCs w:val="22"/>
        </w:rPr>
        <w:t>uvieron un crecimiento del 7.</w:t>
      </w:r>
      <w:r w:rsidR="00741185">
        <w:rPr>
          <w:rFonts w:cs="Times New Roman"/>
          <w:szCs w:val="22"/>
        </w:rPr>
        <w:t>9</w:t>
      </w:r>
      <w:r w:rsidR="004D535D">
        <w:rPr>
          <w:rFonts w:cs="Times New Roman"/>
          <w:szCs w:val="22"/>
        </w:rPr>
        <w:t>% (Q687</w:t>
      </w:r>
      <w:r w:rsidR="00741185">
        <w:rPr>
          <w:rFonts w:cs="Times New Roman"/>
          <w:szCs w:val="22"/>
        </w:rPr>
        <w:t>.0</w:t>
      </w:r>
      <w:r w:rsidR="004D535D">
        <w:rPr>
          <w:rFonts w:cs="Times New Roman"/>
          <w:szCs w:val="22"/>
        </w:rPr>
        <w:t xml:space="preserve"> </w:t>
      </w:r>
      <w:r w:rsidR="00632592">
        <w:rPr>
          <w:rFonts w:cs="Times New Roman"/>
          <w:szCs w:val="22"/>
        </w:rPr>
        <w:t>millones)</w:t>
      </w:r>
      <w:r w:rsidR="004D535D">
        <w:rPr>
          <w:rFonts w:cs="Times New Roman"/>
          <w:szCs w:val="22"/>
        </w:rPr>
        <w:t xml:space="preserve"> </w:t>
      </w:r>
      <w:r w:rsidR="00087EC1">
        <w:rPr>
          <w:rFonts w:cs="Times New Roman"/>
          <w:szCs w:val="22"/>
        </w:rPr>
        <w:t xml:space="preserve">y las remuneraciones a los </w:t>
      </w:r>
      <w:r w:rsidR="00FA09E8">
        <w:rPr>
          <w:rFonts w:cs="Times New Roman"/>
          <w:szCs w:val="22"/>
        </w:rPr>
        <w:t>empleados experimentaron</w:t>
      </w:r>
      <w:r w:rsidR="00087EC1">
        <w:rPr>
          <w:rFonts w:cs="Times New Roman"/>
          <w:szCs w:val="22"/>
        </w:rPr>
        <w:t xml:space="preserve"> un incremento del 4.1% </w:t>
      </w:r>
      <w:r w:rsidR="00632592">
        <w:rPr>
          <w:rFonts w:cs="Times New Roman"/>
          <w:szCs w:val="22"/>
        </w:rPr>
        <w:t>(Q55</w:t>
      </w:r>
      <w:r w:rsidR="00741185">
        <w:rPr>
          <w:rFonts w:cs="Times New Roman"/>
          <w:szCs w:val="22"/>
        </w:rPr>
        <w:t>3</w:t>
      </w:r>
      <w:r w:rsidR="00632592">
        <w:rPr>
          <w:rFonts w:cs="Times New Roman"/>
          <w:szCs w:val="22"/>
        </w:rPr>
        <w:t>.</w:t>
      </w:r>
      <w:r w:rsidR="00A75602">
        <w:rPr>
          <w:rFonts w:cs="Times New Roman"/>
          <w:szCs w:val="22"/>
        </w:rPr>
        <w:t>8</w:t>
      </w:r>
      <w:r w:rsidR="00632592">
        <w:rPr>
          <w:rFonts w:cs="Times New Roman"/>
          <w:szCs w:val="22"/>
        </w:rPr>
        <w:t xml:space="preserve"> millones) respecto al mismo periodo del año previo.</w:t>
      </w:r>
    </w:p>
    <w:p w14:paraId="729547B8" w14:textId="289E5EFE" w:rsidR="007A1C1D" w:rsidRDefault="007A1C1D" w:rsidP="00CD34D6">
      <w:pPr>
        <w:rPr>
          <w:rFonts w:cs="Times New Roman"/>
          <w:szCs w:val="22"/>
        </w:rPr>
      </w:pPr>
    </w:p>
    <w:p w14:paraId="37E7B8DC" w14:textId="058B94D7" w:rsidR="00606425" w:rsidRDefault="005C6BE3" w:rsidP="00606425">
      <w:pPr>
        <w:rPr>
          <w:lang w:val="es-MX"/>
        </w:rPr>
      </w:pPr>
      <w:r>
        <w:rPr>
          <w:rFonts w:cs="Times New Roman"/>
          <w:szCs w:val="22"/>
        </w:rPr>
        <w:t>Por su parte,</w:t>
      </w:r>
      <w:r w:rsidR="00516FA1">
        <w:rPr>
          <w:rFonts w:cs="Times New Roman"/>
          <w:szCs w:val="22"/>
        </w:rPr>
        <w:t xml:space="preserve"> las prestaciones sociales </w:t>
      </w:r>
      <w:r w:rsidR="00FA09E8">
        <w:rPr>
          <w:rFonts w:cs="Times New Roman"/>
          <w:szCs w:val="22"/>
        </w:rPr>
        <w:t>tienen</w:t>
      </w:r>
      <w:r w:rsidR="00516FA1">
        <w:rPr>
          <w:rFonts w:cs="Times New Roman"/>
          <w:szCs w:val="22"/>
        </w:rPr>
        <w:t xml:space="preserve"> variación interanual negativ</w:t>
      </w:r>
      <w:r w:rsidR="00FA09E8">
        <w:rPr>
          <w:rFonts w:cs="Times New Roman"/>
          <w:szCs w:val="22"/>
        </w:rPr>
        <w:t>a</w:t>
      </w:r>
      <w:r w:rsidR="00516FA1">
        <w:rPr>
          <w:rFonts w:cs="Times New Roman"/>
          <w:szCs w:val="22"/>
        </w:rPr>
        <w:t xml:space="preserve"> al mes de junio </w:t>
      </w:r>
      <w:r w:rsidR="00FA09E8">
        <w:rPr>
          <w:rFonts w:cs="Times New Roman"/>
          <w:szCs w:val="22"/>
        </w:rPr>
        <w:t xml:space="preserve">de </w:t>
      </w:r>
      <w:r w:rsidR="004E0B10">
        <w:rPr>
          <w:rFonts w:cs="Times New Roman"/>
          <w:szCs w:val="22"/>
        </w:rPr>
        <w:t>39</w:t>
      </w:r>
      <w:r w:rsidR="00FA09E8">
        <w:rPr>
          <w:rFonts w:cs="Times New Roman"/>
          <w:szCs w:val="22"/>
        </w:rPr>
        <w:t>.</w:t>
      </w:r>
      <w:r w:rsidR="004E0B10">
        <w:rPr>
          <w:rFonts w:cs="Times New Roman"/>
          <w:szCs w:val="22"/>
        </w:rPr>
        <w:t>8</w:t>
      </w:r>
      <w:r w:rsidR="00FA09E8">
        <w:rPr>
          <w:rFonts w:cs="Times New Roman"/>
          <w:szCs w:val="22"/>
        </w:rPr>
        <w:t>% (Q1,841.2</w:t>
      </w:r>
      <w:r w:rsidR="00516FA1">
        <w:rPr>
          <w:rFonts w:cs="Times New Roman"/>
          <w:szCs w:val="22"/>
        </w:rPr>
        <w:t xml:space="preserve"> </w:t>
      </w:r>
      <w:r w:rsidR="00FA09E8">
        <w:rPr>
          <w:rFonts w:cs="Times New Roman"/>
          <w:szCs w:val="22"/>
        </w:rPr>
        <w:t xml:space="preserve">millones) </w:t>
      </w:r>
      <w:r w:rsidR="00116A12">
        <w:rPr>
          <w:rFonts w:cs="Times New Roman"/>
          <w:szCs w:val="22"/>
        </w:rPr>
        <w:t>derivado a la reducción en la prestación de asistencia</w:t>
      </w:r>
      <w:r w:rsidR="00062ED8">
        <w:rPr>
          <w:rFonts w:cs="Times New Roman"/>
          <w:szCs w:val="22"/>
        </w:rPr>
        <w:t xml:space="preserve"> social</w:t>
      </w:r>
      <w:r w:rsidR="009C21BF">
        <w:rPr>
          <w:rFonts w:cs="Times New Roman"/>
          <w:szCs w:val="22"/>
        </w:rPr>
        <w:t>,</w:t>
      </w:r>
      <w:r w:rsidR="00AF4AE7">
        <w:rPr>
          <w:rFonts w:cs="Times New Roman"/>
          <w:szCs w:val="22"/>
        </w:rPr>
        <w:t xml:space="preserve"> la cual</w:t>
      </w:r>
      <w:r w:rsidR="00062ED8">
        <w:rPr>
          <w:rFonts w:cs="Times New Roman"/>
          <w:szCs w:val="22"/>
        </w:rPr>
        <w:t xml:space="preserve"> se redujo en 8</w:t>
      </w:r>
      <w:r w:rsidR="007D007F">
        <w:rPr>
          <w:rFonts w:cs="Times New Roman"/>
          <w:szCs w:val="22"/>
        </w:rPr>
        <w:t>4</w:t>
      </w:r>
      <w:r w:rsidR="00062ED8">
        <w:rPr>
          <w:rFonts w:cs="Times New Roman"/>
          <w:szCs w:val="22"/>
        </w:rPr>
        <w:t>.1% (</w:t>
      </w:r>
      <w:r w:rsidR="00DE4D7E">
        <w:rPr>
          <w:rFonts w:cs="Times New Roman"/>
          <w:szCs w:val="22"/>
        </w:rPr>
        <w:t>Q</w:t>
      </w:r>
      <w:r w:rsidR="00062ED8">
        <w:rPr>
          <w:rFonts w:cs="Times New Roman"/>
          <w:szCs w:val="22"/>
        </w:rPr>
        <w:t>1,</w:t>
      </w:r>
      <w:r w:rsidR="00DE4D7E">
        <w:rPr>
          <w:rFonts w:cs="Times New Roman"/>
          <w:szCs w:val="22"/>
        </w:rPr>
        <w:t>8</w:t>
      </w:r>
      <w:r w:rsidR="00E16589">
        <w:rPr>
          <w:rFonts w:cs="Times New Roman"/>
          <w:szCs w:val="22"/>
        </w:rPr>
        <w:t>38</w:t>
      </w:r>
      <w:r w:rsidR="00062ED8">
        <w:rPr>
          <w:rFonts w:cs="Times New Roman"/>
          <w:szCs w:val="22"/>
        </w:rPr>
        <w:t>.</w:t>
      </w:r>
      <w:r w:rsidR="00E16589">
        <w:rPr>
          <w:rFonts w:cs="Times New Roman"/>
          <w:szCs w:val="22"/>
        </w:rPr>
        <w:t>5</w:t>
      </w:r>
      <w:r w:rsidR="00062ED8">
        <w:rPr>
          <w:rFonts w:cs="Times New Roman"/>
          <w:szCs w:val="22"/>
        </w:rPr>
        <w:t>)</w:t>
      </w:r>
      <w:r w:rsidR="00AF4AE7">
        <w:rPr>
          <w:rFonts w:cs="Times New Roman"/>
          <w:szCs w:val="22"/>
        </w:rPr>
        <w:t xml:space="preserve">. Cabe mencionar que </w:t>
      </w:r>
      <w:r w:rsidR="001F7309">
        <w:rPr>
          <w:rFonts w:cs="Times New Roman"/>
          <w:szCs w:val="22"/>
        </w:rPr>
        <w:t xml:space="preserve">esa </w:t>
      </w:r>
      <w:r w:rsidR="005E2D40">
        <w:rPr>
          <w:rFonts w:cs="Times New Roman"/>
          <w:szCs w:val="22"/>
        </w:rPr>
        <w:t>variación</w:t>
      </w:r>
      <w:r w:rsidR="001F7309">
        <w:rPr>
          <w:rFonts w:cs="Times New Roman"/>
          <w:szCs w:val="22"/>
        </w:rPr>
        <w:t xml:space="preserve"> en buena medida es explicada </w:t>
      </w:r>
      <w:r w:rsidR="00E82656">
        <w:rPr>
          <w:rFonts w:cs="Times New Roman"/>
          <w:szCs w:val="22"/>
        </w:rPr>
        <w:t xml:space="preserve">por </w:t>
      </w:r>
      <w:r w:rsidR="00681447">
        <w:rPr>
          <w:rFonts w:cs="Times New Roman"/>
          <w:szCs w:val="22"/>
        </w:rPr>
        <w:t>el bono familia</w:t>
      </w:r>
      <w:r w:rsidR="00BC11A1">
        <w:rPr>
          <w:rFonts w:cs="Times New Roman"/>
          <w:szCs w:val="22"/>
        </w:rPr>
        <w:t xml:space="preserve">, el cual </w:t>
      </w:r>
      <w:r w:rsidR="00E82656">
        <w:rPr>
          <w:rFonts w:cs="Times New Roman"/>
          <w:szCs w:val="22"/>
        </w:rPr>
        <w:t>fue entregado</w:t>
      </w:r>
      <w:r w:rsidR="007D5D9F">
        <w:rPr>
          <w:rFonts w:cs="Times New Roman"/>
          <w:szCs w:val="22"/>
        </w:rPr>
        <w:t xml:space="preserve"> por el Ministerio de Desarrollo</w:t>
      </w:r>
      <w:r w:rsidR="00DE4D7E">
        <w:rPr>
          <w:rFonts w:cs="Times New Roman"/>
          <w:szCs w:val="22"/>
        </w:rPr>
        <w:t xml:space="preserve"> Social</w:t>
      </w:r>
      <w:r w:rsidR="00E82656">
        <w:rPr>
          <w:rFonts w:cs="Times New Roman"/>
          <w:szCs w:val="22"/>
        </w:rPr>
        <w:t xml:space="preserve"> en 2020 </w:t>
      </w:r>
      <w:r w:rsidR="00681447">
        <w:rPr>
          <w:rFonts w:cs="Times New Roman"/>
          <w:szCs w:val="22"/>
        </w:rPr>
        <w:t xml:space="preserve">como una medida de apoyo </w:t>
      </w:r>
      <w:r w:rsidR="009C21BF">
        <w:rPr>
          <w:rFonts w:cs="Times New Roman"/>
          <w:szCs w:val="22"/>
        </w:rPr>
        <w:t>ante los efectos de la Pandemia del Covid-19.</w:t>
      </w:r>
      <w:r w:rsidR="006D547A">
        <w:rPr>
          <w:rFonts w:cs="Times New Roman"/>
          <w:szCs w:val="22"/>
        </w:rPr>
        <w:t xml:space="preserve"> </w:t>
      </w:r>
      <w:r w:rsidR="00606425">
        <w:rPr>
          <w:lang w:val="es-MX"/>
        </w:rPr>
        <w:t xml:space="preserve">Así mismo, los subsidios tuvieron </w:t>
      </w:r>
      <w:r w:rsidR="00043B88">
        <w:rPr>
          <w:lang w:val="es-MX"/>
        </w:rPr>
        <w:t>una</w:t>
      </w:r>
      <w:r w:rsidR="00606425">
        <w:rPr>
          <w:lang w:val="es-MX"/>
        </w:rPr>
        <w:t xml:space="preserve"> variación </w:t>
      </w:r>
      <w:r w:rsidR="00F13EB6">
        <w:rPr>
          <w:lang w:val="es-MX"/>
        </w:rPr>
        <w:t xml:space="preserve">negativa </w:t>
      </w:r>
      <w:r w:rsidR="00850808">
        <w:rPr>
          <w:lang w:val="es-MX"/>
        </w:rPr>
        <w:t>del 75.6% (Q598.7 millones)</w:t>
      </w:r>
      <w:r w:rsidR="00F908A9">
        <w:rPr>
          <w:lang w:val="es-MX"/>
        </w:rPr>
        <w:t xml:space="preserve"> mientras que los otros gastos </w:t>
      </w:r>
      <w:r w:rsidR="003D325F">
        <w:rPr>
          <w:lang w:val="es-MX"/>
        </w:rPr>
        <w:t>se redujeron in</w:t>
      </w:r>
      <w:r w:rsidR="00603AA0">
        <w:rPr>
          <w:lang w:val="es-MX"/>
        </w:rPr>
        <w:t xml:space="preserve">teranualmente en </w:t>
      </w:r>
      <w:r w:rsidR="00715B0A">
        <w:rPr>
          <w:lang w:val="es-MX"/>
        </w:rPr>
        <w:t>6</w:t>
      </w:r>
      <w:r w:rsidR="00603AA0">
        <w:rPr>
          <w:lang w:val="es-MX"/>
        </w:rPr>
        <w:t>.</w:t>
      </w:r>
      <w:r w:rsidR="00715B0A">
        <w:rPr>
          <w:lang w:val="es-MX"/>
        </w:rPr>
        <w:t>3</w:t>
      </w:r>
      <w:r w:rsidR="00603AA0">
        <w:rPr>
          <w:lang w:val="es-MX"/>
        </w:rPr>
        <w:t>% (Q</w:t>
      </w:r>
      <w:r w:rsidR="00715B0A">
        <w:rPr>
          <w:lang w:val="es-MX"/>
        </w:rPr>
        <w:t xml:space="preserve">168.8 </w:t>
      </w:r>
      <w:r w:rsidR="00603AA0">
        <w:rPr>
          <w:lang w:val="es-MX"/>
        </w:rPr>
        <w:t>millones).</w:t>
      </w:r>
    </w:p>
    <w:p w14:paraId="15383203" w14:textId="77777777" w:rsidR="00603AA0" w:rsidRPr="00D4253F" w:rsidRDefault="00603AA0" w:rsidP="00606425">
      <w:pPr>
        <w:rPr>
          <w:lang w:val="es-MX"/>
        </w:rPr>
      </w:pPr>
    </w:p>
    <w:p w14:paraId="53DB6EFC" w14:textId="27E35BA8" w:rsidR="00C244C3" w:rsidRDefault="00BC34C0" w:rsidP="00497EBD">
      <w:pPr>
        <w:jc w:val="center"/>
        <w:rPr>
          <w:rFonts w:cs="Times New Roman"/>
          <w:sz w:val="16"/>
          <w:szCs w:val="22"/>
          <w:lang w:val="es-MX"/>
        </w:rPr>
      </w:pPr>
      <w:r w:rsidRPr="00AC1506">
        <w:rPr>
          <w:rFonts w:cs="Times New Roman"/>
          <w:noProof/>
          <w:szCs w:val="22"/>
          <w:lang w:eastAsia="es-GT"/>
        </w:rPr>
        <w:drawing>
          <wp:inline distT="0" distB="0" distL="0" distR="0" wp14:anchorId="15E12414" wp14:editId="018761D6">
            <wp:extent cx="5486400" cy="2689094"/>
            <wp:effectExtent l="0" t="0" r="0" b="0"/>
            <wp:docPr id="2"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58400935" w14:textId="2BAE138B" w:rsidR="00603AA0" w:rsidRDefault="00603AA0" w:rsidP="00497EBD">
      <w:pPr>
        <w:jc w:val="center"/>
        <w:rPr>
          <w:rFonts w:cs="Times New Roman"/>
          <w:sz w:val="16"/>
          <w:szCs w:val="22"/>
          <w:lang w:val="es-MX"/>
        </w:rPr>
      </w:pPr>
    </w:p>
    <w:p w14:paraId="50307471" w14:textId="77777777" w:rsidR="00603AA0" w:rsidRDefault="00603AA0" w:rsidP="00497EBD">
      <w:pPr>
        <w:jc w:val="center"/>
        <w:rPr>
          <w:rFonts w:cs="Times New Roman"/>
          <w:sz w:val="16"/>
          <w:szCs w:val="22"/>
          <w:lang w:val="es-MX"/>
        </w:rPr>
      </w:pPr>
    </w:p>
    <w:p w14:paraId="051E5CBD" w14:textId="34E269F1" w:rsidR="008B2529" w:rsidRPr="00AC1506" w:rsidRDefault="006122C1" w:rsidP="008B2529">
      <w:pPr>
        <w:pStyle w:val="Prrafodelista"/>
        <w:numPr>
          <w:ilvl w:val="0"/>
          <w:numId w:val="1"/>
        </w:numPr>
        <w:ind w:left="426" w:hanging="426"/>
        <w:outlineLvl w:val="0"/>
        <w:rPr>
          <w:rFonts w:cs="Times New Roman"/>
          <w:b/>
          <w:sz w:val="24"/>
          <w:lang w:val="es-MX"/>
        </w:rPr>
      </w:pPr>
      <w:bookmarkStart w:id="378" w:name="_Toc42023961"/>
      <w:bookmarkStart w:id="379" w:name="_Toc42024013"/>
      <w:bookmarkStart w:id="380" w:name="_Toc411347499"/>
      <w:bookmarkStart w:id="381" w:name="_Toc83376480"/>
      <w:bookmarkEnd w:id="378"/>
      <w:bookmarkEnd w:id="379"/>
      <w:r w:rsidRPr="00AC1506">
        <w:rPr>
          <w:rFonts w:cs="Times New Roman"/>
          <w:b/>
          <w:sz w:val="24"/>
          <w:lang w:val="es-MX"/>
        </w:rPr>
        <w:t xml:space="preserve">Transacciones en Activos </w:t>
      </w:r>
      <w:r w:rsidR="00F4077C" w:rsidRPr="00AC1506">
        <w:rPr>
          <w:rFonts w:cs="Times New Roman"/>
          <w:b/>
          <w:sz w:val="24"/>
          <w:lang w:val="es-MX"/>
        </w:rPr>
        <w:t>No Financieros</w:t>
      </w:r>
      <w:bookmarkEnd w:id="381"/>
    </w:p>
    <w:p w14:paraId="3079688C" w14:textId="58D1019F" w:rsidR="00A72A8F" w:rsidRPr="00AC1506" w:rsidRDefault="006E4C13" w:rsidP="00C17472">
      <w:pPr>
        <w:rPr>
          <w:rFonts w:cs="Times New Roman"/>
          <w:sz w:val="24"/>
          <w:lang w:val="es-MX"/>
        </w:rPr>
      </w:pPr>
      <w:r w:rsidRPr="00AC1506">
        <w:rPr>
          <w:rFonts w:eastAsiaTheme="majorEastAsia"/>
          <w:noProof/>
          <w:lang w:eastAsia="es-GT"/>
        </w:rPr>
        <w:drawing>
          <wp:inline distT="0" distB="0" distL="0" distR="0" wp14:anchorId="442F73B6" wp14:editId="7EFD020C">
            <wp:extent cx="5836920" cy="876300"/>
            <wp:effectExtent l="76200" t="38100" r="87630" b="133350"/>
            <wp:docPr id="20" name="Diagrama 2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inline>
        </w:drawing>
      </w:r>
    </w:p>
    <w:p w14:paraId="6691AA13" w14:textId="77777777" w:rsidR="00A72A8F" w:rsidRPr="00AC1506" w:rsidRDefault="00A72A8F" w:rsidP="00A72A8F">
      <w:pPr>
        <w:pStyle w:val="Prrafodelista"/>
        <w:keepNext/>
        <w:keepLines/>
        <w:numPr>
          <w:ilvl w:val="0"/>
          <w:numId w:val="12"/>
        </w:numPr>
        <w:contextualSpacing w:val="0"/>
        <w:outlineLvl w:val="1"/>
        <w:rPr>
          <w:rFonts w:eastAsiaTheme="majorEastAsia" w:cs="Times New Roman"/>
          <w:b/>
          <w:bCs/>
          <w:vanish/>
          <w:sz w:val="24"/>
          <w:szCs w:val="26"/>
          <w:lang w:val="es-ES_tradnl" w:eastAsia="es-ES"/>
        </w:rPr>
      </w:pPr>
      <w:bookmarkStart w:id="382" w:name="_Toc33109793"/>
      <w:bookmarkStart w:id="383" w:name="_Toc33109836"/>
      <w:bookmarkStart w:id="384" w:name="_Toc33180557"/>
      <w:bookmarkStart w:id="385" w:name="_Toc33180651"/>
      <w:bookmarkStart w:id="386" w:name="_Toc33193548"/>
      <w:bookmarkStart w:id="387" w:name="_Toc33193587"/>
      <w:bookmarkStart w:id="388" w:name="_Toc33196784"/>
      <w:bookmarkStart w:id="389" w:name="_Toc40691760"/>
      <w:bookmarkStart w:id="390" w:name="_Toc40959160"/>
      <w:bookmarkStart w:id="391" w:name="_Toc40975994"/>
      <w:bookmarkStart w:id="392" w:name="_Toc40976063"/>
      <w:bookmarkStart w:id="393" w:name="_Toc40993318"/>
      <w:bookmarkStart w:id="394" w:name="_Toc40993700"/>
      <w:bookmarkStart w:id="395" w:name="_Toc41037576"/>
      <w:bookmarkStart w:id="396" w:name="_Toc41254136"/>
      <w:bookmarkStart w:id="397" w:name="_Toc41254168"/>
      <w:bookmarkStart w:id="398" w:name="_Toc41254188"/>
      <w:bookmarkStart w:id="399" w:name="_Toc42023964"/>
      <w:bookmarkStart w:id="400" w:name="_Toc42024015"/>
      <w:bookmarkStart w:id="401" w:name="_Toc42069112"/>
      <w:bookmarkStart w:id="402" w:name="_Toc49422058"/>
      <w:bookmarkStart w:id="403" w:name="_Toc49422084"/>
      <w:bookmarkStart w:id="404" w:name="_Toc49430663"/>
      <w:bookmarkStart w:id="405" w:name="_Toc49430689"/>
      <w:bookmarkStart w:id="406" w:name="_Toc49750466"/>
      <w:bookmarkStart w:id="407" w:name="_Toc49750716"/>
      <w:bookmarkStart w:id="408" w:name="_Toc49750744"/>
      <w:bookmarkStart w:id="409" w:name="_Toc55284830"/>
      <w:bookmarkStart w:id="410" w:name="_Toc55298848"/>
      <w:bookmarkStart w:id="411" w:name="_Toc55373829"/>
      <w:bookmarkStart w:id="412" w:name="_Toc55374002"/>
      <w:bookmarkStart w:id="413" w:name="_Toc55375139"/>
      <w:bookmarkStart w:id="414" w:name="_Toc55396547"/>
      <w:bookmarkStart w:id="415" w:name="_Toc65230544"/>
      <w:bookmarkStart w:id="416" w:name="_Toc65230782"/>
      <w:bookmarkStart w:id="417" w:name="_Toc65232066"/>
      <w:bookmarkStart w:id="418" w:name="_Toc65232311"/>
      <w:bookmarkStart w:id="419" w:name="_Toc66716170"/>
      <w:bookmarkStart w:id="420" w:name="_Toc71097214"/>
      <w:bookmarkStart w:id="421" w:name="_Toc71097245"/>
      <w:bookmarkStart w:id="422" w:name="_Toc71097320"/>
      <w:bookmarkStart w:id="423" w:name="_Toc71108060"/>
      <w:bookmarkStart w:id="424" w:name="_Toc79055254"/>
      <w:bookmarkStart w:id="425" w:name="_Toc79055285"/>
      <w:bookmarkStart w:id="426" w:name="_Toc79060176"/>
      <w:bookmarkStart w:id="427" w:name="_Toc79060463"/>
      <w:bookmarkStart w:id="428" w:name="_Toc81307820"/>
      <w:bookmarkStart w:id="429" w:name="_Toc833764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p>
    <w:p w14:paraId="79B9A6E4" w14:textId="7EC188CE" w:rsidR="008B2529" w:rsidRPr="00E51982" w:rsidRDefault="00EA566E" w:rsidP="00EB6D9F">
      <w:pPr>
        <w:pStyle w:val="Ttulo2"/>
        <w:numPr>
          <w:ilvl w:val="1"/>
          <w:numId w:val="12"/>
        </w:numPr>
        <w:tabs>
          <w:tab w:val="left" w:pos="426"/>
        </w:tabs>
        <w:spacing w:before="0"/>
        <w:ind w:left="284" w:hanging="284"/>
        <w:rPr>
          <w:rFonts w:ascii="Times New Roman" w:hAnsi="Times New Roman" w:cs="Times New Roman"/>
          <w:color w:val="auto"/>
          <w:sz w:val="24"/>
        </w:rPr>
      </w:pPr>
      <w:bookmarkStart w:id="430" w:name="_Toc83376482"/>
      <w:r>
        <w:rPr>
          <w:rFonts w:ascii="Times New Roman" w:hAnsi="Times New Roman" w:cs="Times New Roman"/>
          <w:color w:val="auto"/>
          <w:sz w:val="24"/>
        </w:rPr>
        <w:t>Aumenta l</w:t>
      </w:r>
      <w:r w:rsidR="00A51947">
        <w:rPr>
          <w:rFonts w:ascii="Times New Roman" w:hAnsi="Times New Roman" w:cs="Times New Roman"/>
          <w:color w:val="auto"/>
          <w:sz w:val="24"/>
        </w:rPr>
        <w:t>a i</w:t>
      </w:r>
      <w:r w:rsidR="00D77222" w:rsidRPr="00E51982">
        <w:rPr>
          <w:rFonts w:ascii="Times New Roman" w:hAnsi="Times New Roman" w:cs="Times New Roman"/>
          <w:color w:val="auto"/>
          <w:sz w:val="24"/>
        </w:rPr>
        <w:t>nversión en activos no financieros</w:t>
      </w:r>
      <w:bookmarkEnd w:id="430"/>
      <w:r w:rsidR="00020F69">
        <w:rPr>
          <w:rFonts w:ascii="Times New Roman" w:hAnsi="Times New Roman" w:cs="Times New Roman"/>
          <w:color w:val="auto"/>
          <w:sz w:val="24"/>
        </w:rPr>
        <w:t xml:space="preserve"> </w:t>
      </w:r>
    </w:p>
    <w:p w14:paraId="1C62E993" w14:textId="22B54FD3" w:rsidR="00680F24" w:rsidRDefault="00393F94" w:rsidP="00CD34D6">
      <w:pPr>
        <w:rPr>
          <w:rFonts w:cs="Times New Roman"/>
          <w:szCs w:val="22"/>
        </w:rPr>
      </w:pPr>
      <w:r>
        <w:rPr>
          <w:rFonts w:cs="Times New Roman"/>
          <w:szCs w:val="22"/>
        </w:rPr>
        <w:t xml:space="preserve">Durante el </w:t>
      </w:r>
      <w:r w:rsidR="00C925F3">
        <w:rPr>
          <w:rFonts w:cs="Times New Roman"/>
          <w:szCs w:val="22"/>
        </w:rPr>
        <w:t>segundo</w:t>
      </w:r>
      <w:r>
        <w:rPr>
          <w:rFonts w:cs="Times New Roman"/>
          <w:szCs w:val="22"/>
        </w:rPr>
        <w:t xml:space="preserve"> trimestre del año</w:t>
      </w:r>
      <w:r w:rsidR="00E846F8">
        <w:rPr>
          <w:rFonts w:cs="Times New Roman"/>
          <w:szCs w:val="22"/>
        </w:rPr>
        <w:t xml:space="preserve">, la inversión bruta en activos no financieros </w:t>
      </w:r>
      <w:r w:rsidR="00261BEE">
        <w:rPr>
          <w:rFonts w:cs="Times New Roman"/>
          <w:szCs w:val="22"/>
        </w:rPr>
        <w:t xml:space="preserve">asciende a un total </w:t>
      </w:r>
      <w:r w:rsidR="00AE62F4">
        <w:rPr>
          <w:rFonts w:cs="Times New Roman"/>
          <w:szCs w:val="22"/>
        </w:rPr>
        <w:t>de Q</w:t>
      </w:r>
      <w:r w:rsidR="009F70A9">
        <w:rPr>
          <w:rFonts w:cs="Times New Roman"/>
          <w:szCs w:val="22"/>
        </w:rPr>
        <w:t>1,</w:t>
      </w:r>
      <w:r w:rsidR="00E846F8">
        <w:rPr>
          <w:rFonts w:cs="Times New Roman"/>
          <w:szCs w:val="22"/>
        </w:rPr>
        <w:t>4</w:t>
      </w:r>
      <w:r w:rsidR="009F70A9">
        <w:rPr>
          <w:rFonts w:cs="Times New Roman"/>
          <w:szCs w:val="22"/>
        </w:rPr>
        <w:t>30</w:t>
      </w:r>
      <w:r w:rsidR="00E846F8">
        <w:rPr>
          <w:rFonts w:cs="Times New Roman"/>
          <w:szCs w:val="22"/>
        </w:rPr>
        <w:t>.7 millones</w:t>
      </w:r>
      <w:r w:rsidR="00020F69">
        <w:rPr>
          <w:rFonts w:cs="Times New Roman"/>
          <w:szCs w:val="22"/>
        </w:rPr>
        <w:t xml:space="preserve"> </w:t>
      </w:r>
      <w:r w:rsidR="009F70A9">
        <w:rPr>
          <w:rFonts w:cs="Times New Roman"/>
          <w:szCs w:val="22"/>
        </w:rPr>
        <w:t xml:space="preserve">siendo este un incremento interanual del </w:t>
      </w:r>
      <w:r w:rsidR="00AA0229">
        <w:rPr>
          <w:rFonts w:cs="Times New Roman"/>
          <w:szCs w:val="22"/>
        </w:rPr>
        <w:t>6.2</w:t>
      </w:r>
      <w:r w:rsidR="00107432">
        <w:rPr>
          <w:rFonts w:cs="Times New Roman"/>
          <w:szCs w:val="22"/>
        </w:rPr>
        <w:t>% (Q</w:t>
      </w:r>
      <w:r w:rsidR="00AA0229">
        <w:rPr>
          <w:rFonts w:cs="Times New Roman"/>
          <w:szCs w:val="22"/>
        </w:rPr>
        <w:t>83</w:t>
      </w:r>
      <w:r w:rsidR="00107432">
        <w:rPr>
          <w:rFonts w:cs="Times New Roman"/>
          <w:szCs w:val="22"/>
        </w:rPr>
        <w:t>.</w:t>
      </w:r>
      <w:r w:rsidR="00AA0229">
        <w:rPr>
          <w:rFonts w:cs="Times New Roman"/>
          <w:szCs w:val="22"/>
        </w:rPr>
        <w:t>0</w:t>
      </w:r>
      <w:r w:rsidR="00107432">
        <w:rPr>
          <w:rFonts w:cs="Times New Roman"/>
          <w:szCs w:val="22"/>
        </w:rPr>
        <w:t xml:space="preserve"> millones)</w:t>
      </w:r>
      <w:r w:rsidR="00D02374">
        <w:rPr>
          <w:rFonts w:cs="Times New Roman"/>
          <w:szCs w:val="22"/>
        </w:rPr>
        <w:t xml:space="preserve">. </w:t>
      </w:r>
      <w:r w:rsidR="00826D96">
        <w:rPr>
          <w:rFonts w:cs="Times New Roman"/>
          <w:szCs w:val="22"/>
        </w:rPr>
        <w:t xml:space="preserve">El </w:t>
      </w:r>
      <w:r w:rsidR="00D02374">
        <w:rPr>
          <w:rFonts w:cs="Times New Roman"/>
          <w:szCs w:val="22"/>
        </w:rPr>
        <w:t>principal</w:t>
      </w:r>
      <w:r w:rsidR="00302462">
        <w:rPr>
          <w:rFonts w:cs="Times New Roman"/>
          <w:szCs w:val="22"/>
        </w:rPr>
        <w:t xml:space="preserve"> aumento</w:t>
      </w:r>
      <w:r w:rsidR="00D02374">
        <w:rPr>
          <w:rFonts w:cs="Times New Roman"/>
          <w:szCs w:val="22"/>
        </w:rPr>
        <w:t xml:space="preserve"> se encuentra en </w:t>
      </w:r>
      <w:r w:rsidR="00F03D5A">
        <w:rPr>
          <w:rFonts w:cs="Times New Roman"/>
          <w:szCs w:val="22"/>
        </w:rPr>
        <w:t xml:space="preserve">la adquisición de maquinaria </w:t>
      </w:r>
      <w:r w:rsidR="00280D80">
        <w:rPr>
          <w:rFonts w:cs="Times New Roman"/>
          <w:szCs w:val="22"/>
        </w:rPr>
        <w:t xml:space="preserve">y equipo (activos fijos) el cual asciende a un total de Q127.4 millones con una variación interanual de </w:t>
      </w:r>
      <w:r w:rsidR="00AE62F4">
        <w:rPr>
          <w:rFonts w:cs="Times New Roman"/>
          <w:szCs w:val="22"/>
        </w:rPr>
        <w:t>198.9% (</w:t>
      </w:r>
      <w:r w:rsidR="009314F1">
        <w:rPr>
          <w:rFonts w:cs="Times New Roman"/>
          <w:szCs w:val="22"/>
        </w:rPr>
        <w:t>Q</w:t>
      </w:r>
      <w:r w:rsidR="00AE62F4">
        <w:rPr>
          <w:rFonts w:cs="Times New Roman"/>
          <w:szCs w:val="22"/>
        </w:rPr>
        <w:t>84.</w:t>
      </w:r>
      <w:r w:rsidR="000D4B80">
        <w:rPr>
          <w:rFonts w:cs="Times New Roman"/>
          <w:szCs w:val="22"/>
        </w:rPr>
        <w:t>9</w:t>
      </w:r>
      <w:r w:rsidR="00AE62F4">
        <w:rPr>
          <w:rFonts w:cs="Times New Roman"/>
          <w:szCs w:val="22"/>
        </w:rPr>
        <w:t xml:space="preserve"> millones) mientras que la categoría de edificios y estructuras </w:t>
      </w:r>
      <w:r w:rsidR="004C0D1F">
        <w:rPr>
          <w:rFonts w:cs="Times New Roman"/>
          <w:szCs w:val="22"/>
        </w:rPr>
        <w:t>se redujo en 0.1% (Q1.9 millones)</w:t>
      </w:r>
      <w:r w:rsidR="00AE65C5">
        <w:rPr>
          <w:rFonts w:cs="Times New Roman"/>
          <w:szCs w:val="22"/>
        </w:rPr>
        <w:t>.</w:t>
      </w:r>
    </w:p>
    <w:p w14:paraId="0F253135" w14:textId="77777777" w:rsidR="00F3371E" w:rsidRDefault="00F3371E" w:rsidP="00CD34D6">
      <w:pPr>
        <w:rPr>
          <w:rFonts w:cs="Times New Roman"/>
          <w:szCs w:val="22"/>
        </w:rPr>
      </w:pPr>
    </w:p>
    <w:p w14:paraId="26962EA2" w14:textId="2DF85C65" w:rsidR="008072E4" w:rsidRPr="00AC1506" w:rsidRDefault="0075669C" w:rsidP="00201CD8">
      <w:pPr>
        <w:jc w:val="center"/>
        <w:rPr>
          <w:rFonts w:cs="Times New Roman"/>
          <w:szCs w:val="22"/>
        </w:rPr>
      </w:pPr>
      <w:r w:rsidRPr="00AC1506">
        <w:rPr>
          <w:rFonts w:cs="Times New Roman"/>
          <w:noProof/>
          <w:szCs w:val="22"/>
          <w:lang w:eastAsia="es-GT"/>
        </w:rPr>
        <w:drawing>
          <wp:inline distT="0" distB="0" distL="0" distR="0" wp14:anchorId="2BFD5ABF" wp14:editId="531900CF">
            <wp:extent cx="5728970" cy="1666480"/>
            <wp:effectExtent l="0" t="0" r="5080" b="10160"/>
            <wp:docPr id="9" name="Gráfico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682EB4BD" w14:textId="12C07EF9" w:rsidR="001B0E2C" w:rsidRPr="00AC1506" w:rsidRDefault="001D54E4" w:rsidP="007B2224">
      <w:pPr>
        <w:pStyle w:val="Prrafodelista"/>
        <w:numPr>
          <w:ilvl w:val="0"/>
          <w:numId w:val="1"/>
        </w:numPr>
        <w:ind w:left="426" w:hanging="426"/>
        <w:outlineLvl w:val="0"/>
        <w:rPr>
          <w:rFonts w:cs="Times New Roman"/>
          <w:b/>
          <w:sz w:val="24"/>
          <w:lang w:val="es-MX"/>
        </w:rPr>
      </w:pPr>
      <w:bookmarkStart w:id="431" w:name="_Toc42023966"/>
      <w:bookmarkStart w:id="432" w:name="_Toc42024017"/>
      <w:bookmarkStart w:id="433" w:name="_Toc42023967"/>
      <w:bookmarkStart w:id="434" w:name="_Toc42024018"/>
      <w:bookmarkStart w:id="435" w:name="_Toc83376483"/>
      <w:bookmarkEnd w:id="431"/>
      <w:bookmarkEnd w:id="432"/>
      <w:bookmarkEnd w:id="433"/>
      <w:bookmarkEnd w:id="434"/>
      <w:r>
        <w:rPr>
          <w:rFonts w:cs="Times New Roman"/>
          <w:b/>
          <w:sz w:val="24"/>
          <w:lang w:val="es-MX"/>
        </w:rPr>
        <w:t>Financiamiento</w:t>
      </w:r>
      <w:bookmarkEnd w:id="435"/>
      <w:r w:rsidR="00931D3E">
        <w:rPr>
          <w:rFonts w:cs="Times New Roman"/>
          <w:b/>
          <w:sz w:val="24"/>
          <w:lang w:val="es-MX"/>
        </w:rPr>
        <w:t xml:space="preserve">  </w:t>
      </w:r>
    </w:p>
    <w:p w14:paraId="58AB0962" w14:textId="77777777" w:rsidR="000F19C1" w:rsidRPr="000F19C1" w:rsidRDefault="000F19C1" w:rsidP="000F19C1">
      <w:pPr>
        <w:pStyle w:val="Prrafodelista"/>
        <w:keepNext/>
        <w:keepLines/>
        <w:numPr>
          <w:ilvl w:val="0"/>
          <w:numId w:val="12"/>
        </w:numPr>
        <w:tabs>
          <w:tab w:val="left" w:pos="426"/>
        </w:tabs>
        <w:spacing w:after="120"/>
        <w:contextualSpacing w:val="0"/>
        <w:outlineLvl w:val="1"/>
        <w:rPr>
          <w:rFonts w:eastAsiaTheme="majorEastAsia" w:cs="Times New Roman"/>
          <w:b/>
          <w:bCs/>
          <w:vanish/>
          <w:sz w:val="24"/>
          <w:szCs w:val="26"/>
          <w:lang w:eastAsia="es-ES"/>
        </w:rPr>
      </w:pPr>
      <w:bookmarkStart w:id="436" w:name="_Toc55374005"/>
      <w:bookmarkStart w:id="437" w:name="_Toc55375142"/>
      <w:bookmarkStart w:id="438" w:name="_Toc55396550"/>
      <w:bookmarkStart w:id="439" w:name="_Toc65230547"/>
      <w:bookmarkStart w:id="440" w:name="_Toc65230785"/>
      <w:bookmarkStart w:id="441" w:name="_Toc65232069"/>
      <w:bookmarkStart w:id="442" w:name="_Toc65232314"/>
      <w:bookmarkStart w:id="443" w:name="_Toc66716173"/>
      <w:bookmarkStart w:id="444" w:name="_Toc71097217"/>
      <w:bookmarkStart w:id="445" w:name="_Toc71097248"/>
      <w:bookmarkStart w:id="446" w:name="_Toc71097323"/>
      <w:bookmarkStart w:id="447" w:name="_Toc71108063"/>
      <w:bookmarkStart w:id="448" w:name="_Toc79055257"/>
      <w:bookmarkStart w:id="449" w:name="_Toc79055288"/>
      <w:bookmarkStart w:id="450" w:name="_Toc79060179"/>
      <w:bookmarkStart w:id="451" w:name="_Toc79060466"/>
      <w:bookmarkStart w:id="452" w:name="_Toc81307823"/>
      <w:bookmarkStart w:id="453" w:name="_Toc83376484"/>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p>
    <w:p w14:paraId="2FB0B61E" w14:textId="11CFAC9F" w:rsidR="004F6CEF" w:rsidRPr="007B2224" w:rsidRDefault="00AF35F4" w:rsidP="000F19C1">
      <w:pPr>
        <w:pStyle w:val="Ttulo2"/>
        <w:numPr>
          <w:ilvl w:val="1"/>
          <w:numId w:val="12"/>
        </w:numPr>
        <w:tabs>
          <w:tab w:val="left" w:pos="426"/>
        </w:tabs>
        <w:spacing w:before="0"/>
        <w:rPr>
          <w:rFonts w:ascii="Times New Roman" w:hAnsi="Times New Roman" w:cs="Times New Roman"/>
          <w:color w:val="auto"/>
          <w:sz w:val="24"/>
        </w:rPr>
      </w:pPr>
      <w:bookmarkStart w:id="454" w:name="_Toc83376485"/>
      <w:r>
        <w:rPr>
          <w:rFonts w:ascii="Times New Roman" w:hAnsi="Times New Roman" w:cs="Times New Roman"/>
          <w:color w:val="auto"/>
          <w:sz w:val="24"/>
        </w:rPr>
        <w:t>Disp</w:t>
      </w:r>
      <w:r w:rsidR="00767B6E">
        <w:rPr>
          <w:rFonts w:ascii="Times New Roman" w:hAnsi="Times New Roman" w:cs="Times New Roman"/>
          <w:color w:val="auto"/>
          <w:sz w:val="24"/>
        </w:rPr>
        <w:t>onibilidad</w:t>
      </w:r>
      <w:r w:rsidR="008D44C7" w:rsidRPr="007B2224">
        <w:rPr>
          <w:rFonts w:ascii="Times New Roman" w:hAnsi="Times New Roman" w:cs="Times New Roman"/>
          <w:color w:val="auto"/>
          <w:sz w:val="24"/>
        </w:rPr>
        <w:t xml:space="preserve"> de activos financieros</w:t>
      </w:r>
      <w:bookmarkEnd w:id="454"/>
    </w:p>
    <w:p w14:paraId="7A4E7AE2" w14:textId="25C6A147" w:rsidR="006D1A13" w:rsidRDefault="002006B9" w:rsidP="00F46ECF">
      <w:pPr>
        <w:rPr>
          <w:b/>
          <w:bCs/>
        </w:rPr>
      </w:pPr>
      <w:r>
        <w:t xml:space="preserve">Al finalizar el segundo trimestre, </w:t>
      </w:r>
      <w:r w:rsidR="004666A5">
        <w:t xml:space="preserve">el </w:t>
      </w:r>
      <w:r w:rsidR="00E25FE4">
        <w:t xml:space="preserve">flujo del incurrimiento de activos financieros </w:t>
      </w:r>
      <w:r w:rsidR="00465EC0">
        <w:t xml:space="preserve">se encuentra en los Q10,706.7 millones de los cuales </w:t>
      </w:r>
      <w:r>
        <w:t xml:space="preserve">la cuenta </w:t>
      </w:r>
      <w:r w:rsidR="0051153F">
        <w:t xml:space="preserve">de </w:t>
      </w:r>
      <w:r w:rsidR="0051153F" w:rsidRPr="009833D8">
        <w:t>Billetes, Monedas y Depósitos</w:t>
      </w:r>
      <w:r w:rsidR="0051153F">
        <w:t xml:space="preserve"> </w:t>
      </w:r>
      <w:r w:rsidR="0051153F" w:rsidRPr="009833D8">
        <w:t>(comúnmente conocido como caja y bancos</w:t>
      </w:r>
      <w:r w:rsidR="0051153F">
        <w:t>)</w:t>
      </w:r>
      <w:r w:rsidR="00E03BFE">
        <w:t xml:space="preserve"> </w:t>
      </w:r>
      <w:r>
        <w:t xml:space="preserve">reporta un </w:t>
      </w:r>
      <w:r w:rsidR="0061072A">
        <w:t>flujo</w:t>
      </w:r>
      <w:r w:rsidR="009B7E4A">
        <w:t xml:space="preserve"> </w:t>
      </w:r>
      <w:r w:rsidR="0061072A">
        <w:t>acumulado</w:t>
      </w:r>
      <w:r w:rsidR="009B7E4A">
        <w:t xml:space="preserve"> de Q10,705.1 millones</w:t>
      </w:r>
      <w:r w:rsidR="007E0CD5">
        <w:t xml:space="preserve">, mientras que el flujo </w:t>
      </w:r>
      <w:r w:rsidR="00465EC0">
        <w:t xml:space="preserve">restante proviene de </w:t>
      </w:r>
      <w:r w:rsidR="00D43428">
        <w:t>préstamos</w:t>
      </w:r>
      <w:r w:rsidR="007E0CD5">
        <w:t xml:space="preserve"> </w:t>
      </w:r>
      <w:r w:rsidR="00465EC0">
        <w:t xml:space="preserve">por un valor de </w:t>
      </w:r>
      <w:r w:rsidR="005562DF">
        <w:t>Q1.</w:t>
      </w:r>
      <w:r w:rsidR="0043576E">
        <w:t>5</w:t>
      </w:r>
      <w:r w:rsidR="005562DF">
        <w:t xml:space="preserve"> millones</w:t>
      </w:r>
      <w:r w:rsidR="00465EC0">
        <w:t xml:space="preserve">. Cabe mencionar </w:t>
      </w:r>
      <w:r w:rsidR="00141467">
        <w:t>que,</w:t>
      </w:r>
      <w:r w:rsidR="00465EC0">
        <w:t xml:space="preserve"> </w:t>
      </w:r>
      <w:r w:rsidR="00D43428">
        <w:t xml:space="preserve">entre los meses de enero a mayo, el flujo de esta última cuenta había presentado valores negativos por un total de </w:t>
      </w:r>
      <w:r w:rsidR="00197385">
        <w:t>Q1.12 millones</w:t>
      </w:r>
      <w:r w:rsidR="00E330AB">
        <w:t xml:space="preserve"> (recuperación de créditos otorgados)</w:t>
      </w:r>
      <w:r w:rsidR="00197385">
        <w:t xml:space="preserve"> pero en el mes de junio se observó un incremento</w:t>
      </w:r>
      <w:r w:rsidR="00753575">
        <w:t xml:space="preserve"> (</w:t>
      </w:r>
      <w:r w:rsidR="00141467">
        <w:t xml:space="preserve">el </w:t>
      </w:r>
      <w:r w:rsidR="00753575">
        <w:t xml:space="preserve">otorgamiento de </w:t>
      </w:r>
      <w:r w:rsidR="00B77BF9">
        <w:t>préstamos</w:t>
      </w:r>
      <w:r w:rsidR="00753575">
        <w:t>)</w:t>
      </w:r>
      <w:r w:rsidR="00197385">
        <w:t xml:space="preserve"> de Q2.7 millones</w:t>
      </w:r>
      <w:r w:rsidR="00DA126F">
        <w:t xml:space="preserve"> </w:t>
      </w:r>
      <w:r w:rsidR="00DA126F" w:rsidRPr="00023745">
        <w:t>principalmente explicado por una regularización del MAGA</w:t>
      </w:r>
      <w:r w:rsidR="00197385" w:rsidRPr="00023745">
        <w:t xml:space="preserve"> </w:t>
      </w:r>
      <w:r w:rsidR="00753575" w:rsidRPr="00023745">
        <w:t>de crédito</w:t>
      </w:r>
      <w:r w:rsidR="00B77BF9" w:rsidRPr="00023745">
        <w:t xml:space="preserve">s otorgados </w:t>
      </w:r>
      <w:r w:rsidR="0056123F" w:rsidRPr="00023745">
        <w:t>para productores del sector cafetalero.</w:t>
      </w:r>
    </w:p>
    <w:p w14:paraId="10F8F297" w14:textId="5BAE3D60" w:rsidR="00470A42" w:rsidRPr="00AC1506" w:rsidRDefault="00470A42" w:rsidP="001A4D7B">
      <w:pPr>
        <w:jc w:val="center"/>
        <w:rPr>
          <w:b/>
          <w:bCs/>
        </w:rPr>
      </w:pPr>
      <w:r w:rsidRPr="00AC1506">
        <w:rPr>
          <w:b/>
          <w:bCs/>
        </w:rPr>
        <w:t xml:space="preserve">Incurrimiento neto de </w:t>
      </w:r>
      <w:r w:rsidR="00512290">
        <w:rPr>
          <w:b/>
          <w:bCs/>
        </w:rPr>
        <w:t>activos financieros</w:t>
      </w:r>
      <w:r w:rsidRPr="00AC1506">
        <w:rPr>
          <w:b/>
          <w:bCs/>
        </w:rPr>
        <w:t xml:space="preserve"> </w:t>
      </w:r>
      <w:r w:rsidR="00ED71F1">
        <w:rPr>
          <w:b/>
          <w:bCs/>
        </w:rPr>
        <w:t>2021</w:t>
      </w:r>
      <w:r w:rsidRPr="00AC1506">
        <w:rPr>
          <w:b/>
          <w:bCs/>
        </w:rPr>
        <w:t>*</w:t>
      </w:r>
    </w:p>
    <w:p w14:paraId="6C188EF3" w14:textId="2A6ECBE8" w:rsidR="00470A42" w:rsidRDefault="00470A42" w:rsidP="006D1A13">
      <w:pPr>
        <w:jc w:val="center"/>
      </w:pPr>
      <w:r w:rsidRPr="00AC1506">
        <w:rPr>
          <w:sz w:val="20"/>
          <w:szCs w:val="22"/>
        </w:rPr>
        <w:t xml:space="preserve">En millones de </w:t>
      </w:r>
      <w:r w:rsidR="003D1F3C">
        <w:rPr>
          <w:sz w:val="20"/>
          <w:szCs w:val="22"/>
        </w:rPr>
        <w:t>q</w:t>
      </w:r>
      <w:r w:rsidRPr="00AC1506">
        <w:rPr>
          <w:sz w:val="20"/>
          <w:szCs w:val="22"/>
        </w:rPr>
        <w:t>uetzales</w:t>
      </w:r>
      <w:r w:rsidR="003D1F3C">
        <w:rPr>
          <w:sz w:val="20"/>
          <w:szCs w:val="22"/>
        </w:rPr>
        <w:t xml:space="preserve"> y porcentajes</w:t>
      </w:r>
    </w:p>
    <w:p w14:paraId="79DAC537" w14:textId="37C9953E" w:rsidR="00731535" w:rsidRPr="00470A42" w:rsidRDefault="00731535" w:rsidP="006D1A13">
      <w:pPr>
        <w:jc w:val="center"/>
      </w:pPr>
      <w:r>
        <w:rPr>
          <w:b/>
          <w:bCs/>
          <w:noProof/>
          <w:lang w:eastAsia="es-GT"/>
        </w:rPr>
        <w:drawing>
          <wp:inline distT="0" distB="0" distL="0" distR="0" wp14:anchorId="6005C3D5" wp14:editId="5461BC3E">
            <wp:extent cx="2845435" cy="1612374"/>
            <wp:effectExtent l="0" t="0" r="0" b="6985"/>
            <wp:docPr id="11" name="Gráfico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r w:rsidR="00FC3031">
        <w:rPr>
          <w:noProof/>
          <w:lang w:eastAsia="es-GT"/>
        </w:rPr>
        <w:drawing>
          <wp:inline distT="0" distB="0" distL="0" distR="0" wp14:anchorId="4B6F4942" wp14:editId="0C82C8BD">
            <wp:extent cx="2600077" cy="1645920"/>
            <wp:effectExtent l="0" t="0" r="0" b="0"/>
            <wp:docPr id="3"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6419312B" w14:textId="149F8931" w:rsidR="001E71BF" w:rsidRPr="00AC1506" w:rsidRDefault="001E71BF" w:rsidP="001E71BF">
      <w:pPr>
        <w:rPr>
          <w:rFonts w:cs="Times New Roman"/>
          <w:sz w:val="16"/>
          <w:szCs w:val="22"/>
          <w:lang w:val="es-MX"/>
        </w:rPr>
      </w:pPr>
      <w:r w:rsidRPr="00AC1506">
        <w:rPr>
          <w:rFonts w:cs="Times New Roman"/>
          <w:sz w:val="16"/>
          <w:szCs w:val="22"/>
          <w:lang w:val="es-MX"/>
        </w:rPr>
        <w:t>*Cifras preliminares</w:t>
      </w:r>
    </w:p>
    <w:p w14:paraId="35802C64" w14:textId="66B9117D" w:rsidR="001E71BF" w:rsidRDefault="001E71BF" w:rsidP="001E71BF">
      <w:pPr>
        <w:rPr>
          <w:rFonts w:cs="Times New Roman"/>
          <w:sz w:val="16"/>
          <w:szCs w:val="22"/>
          <w:lang w:val="es-MX"/>
        </w:rPr>
      </w:pPr>
      <w:r w:rsidRPr="00AC1506">
        <w:rPr>
          <w:rFonts w:cs="Times New Roman"/>
          <w:sz w:val="16"/>
          <w:szCs w:val="22"/>
          <w:lang w:val="es-MX"/>
        </w:rPr>
        <w:t>Fuente: MINFIN</w:t>
      </w:r>
    </w:p>
    <w:p w14:paraId="4C082A4D" w14:textId="21CBDE2D" w:rsidR="003554AC" w:rsidRPr="00AC1506" w:rsidRDefault="00B4230B" w:rsidP="00EB6D9F">
      <w:pPr>
        <w:pStyle w:val="Ttulo2"/>
        <w:numPr>
          <w:ilvl w:val="1"/>
          <w:numId w:val="12"/>
        </w:numPr>
        <w:tabs>
          <w:tab w:val="left" w:pos="426"/>
        </w:tabs>
        <w:spacing w:before="0"/>
        <w:ind w:left="284" w:hanging="284"/>
        <w:rPr>
          <w:rFonts w:ascii="Times New Roman" w:hAnsi="Times New Roman" w:cs="Times New Roman"/>
          <w:color w:val="auto"/>
          <w:sz w:val="24"/>
        </w:rPr>
      </w:pPr>
      <w:bookmarkStart w:id="455" w:name="_Toc83376486"/>
      <w:r>
        <w:rPr>
          <w:rFonts w:ascii="Times New Roman" w:hAnsi="Times New Roman" w:cs="Times New Roman"/>
          <w:color w:val="auto"/>
          <w:sz w:val="24"/>
        </w:rPr>
        <w:lastRenderedPageBreak/>
        <w:t>U</w:t>
      </w:r>
      <w:r w:rsidR="00C35F85">
        <w:rPr>
          <w:rFonts w:ascii="Times New Roman" w:hAnsi="Times New Roman" w:cs="Times New Roman"/>
          <w:color w:val="auto"/>
          <w:sz w:val="24"/>
        </w:rPr>
        <w:t>so</w:t>
      </w:r>
      <w:r w:rsidR="00FF503F">
        <w:rPr>
          <w:rFonts w:ascii="Times New Roman" w:hAnsi="Times New Roman" w:cs="Times New Roman"/>
          <w:color w:val="auto"/>
          <w:sz w:val="24"/>
        </w:rPr>
        <w:t xml:space="preserve"> </w:t>
      </w:r>
      <w:r w:rsidR="00C35F85">
        <w:rPr>
          <w:rFonts w:ascii="Times New Roman" w:hAnsi="Times New Roman" w:cs="Times New Roman"/>
          <w:color w:val="auto"/>
          <w:sz w:val="24"/>
        </w:rPr>
        <w:t>de</w:t>
      </w:r>
      <w:r w:rsidR="0006477B" w:rsidRPr="00AC1506">
        <w:rPr>
          <w:rFonts w:ascii="Times New Roman" w:hAnsi="Times New Roman" w:cs="Times New Roman"/>
          <w:color w:val="auto"/>
          <w:sz w:val="24"/>
        </w:rPr>
        <w:t xml:space="preserve"> </w:t>
      </w:r>
      <w:r w:rsidR="004F7FAD" w:rsidRPr="00AC1506">
        <w:rPr>
          <w:rFonts w:ascii="Times New Roman" w:hAnsi="Times New Roman" w:cs="Times New Roman"/>
          <w:color w:val="auto"/>
          <w:sz w:val="24"/>
        </w:rPr>
        <w:t>pasivos</w:t>
      </w:r>
      <w:r w:rsidR="0089322A">
        <w:rPr>
          <w:rFonts w:ascii="Times New Roman" w:hAnsi="Times New Roman" w:cs="Times New Roman"/>
          <w:color w:val="auto"/>
          <w:sz w:val="24"/>
        </w:rPr>
        <w:t xml:space="preserve"> como fuente de financiamiento</w:t>
      </w:r>
      <w:bookmarkEnd w:id="455"/>
    </w:p>
    <w:p w14:paraId="5B3B9757" w14:textId="4FEBE57F" w:rsidR="0074383C" w:rsidRPr="00AC1506" w:rsidRDefault="003541D8" w:rsidP="00122F2F">
      <w:r>
        <w:t xml:space="preserve">El incurrimiento neto de pasivos al finalizar el segundo trimestre se </w:t>
      </w:r>
      <w:r w:rsidR="007C752D">
        <w:t>incrementó</w:t>
      </w:r>
      <w:r w:rsidR="00FF503F">
        <w:t xml:space="preserve"> </w:t>
      </w:r>
      <w:r w:rsidR="007C752D">
        <w:t>en</w:t>
      </w:r>
      <w:r w:rsidR="002D4AEA">
        <w:t xml:space="preserve"> </w:t>
      </w:r>
      <w:r w:rsidR="00FF503F">
        <w:t>Q</w:t>
      </w:r>
      <w:r w:rsidR="007C752D">
        <w:t>11</w:t>
      </w:r>
      <w:r w:rsidR="00FF503F">
        <w:t>,</w:t>
      </w:r>
      <w:r w:rsidR="00EE0F99">
        <w:t>363</w:t>
      </w:r>
      <w:r w:rsidR="002D4AEA">
        <w:t>.</w:t>
      </w:r>
      <w:r w:rsidR="00EE0F99">
        <w:t>8</w:t>
      </w:r>
      <w:r w:rsidR="00FF503F">
        <w:t xml:space="preserve"> millones</w:t>
      </w:r>
      <w:r w:rsidR="007C752D">
        <w:t>,</w:t>
      </w:r>
      <w:r w:rsidR="0031152E">
        <w:t xml:space="preserve"> de los cuales</w:t>
      </w:r>
      <w:r w:rsidR="009F000B">
        <w:t xml:space="preserve"> Q</w:t>
      </w:r>
      <w:r w:rsidR="00CA37ED">
        <w:t>13</w:t>
      </w:r>
      <w:r w:rsidR="003E2AD9">
        <w:t>,</w:t>
      </w:r>
      <w:r w:rsidR="00CA37ED">
        <w:t>032</w:t>
      </w:r>
      <w:r w:rsidR="003E2AD9">
        <w:t>.</w:t>
      </w:r>
      <w:r w:rsidR="00CA37ED">
        <w:t>0</w:t>
      </w:r>
      <w:r w:rsidR="003E2AD9">
        <w:t xml:space="preserve"> millones </w:t>
      </w:r>
      <w:r w:rsidR="007133FE">
        <w:t>son</w:t>
      </w:r>
      <w:r w:rsidR="0031152E">
        <w:t xml:space="preserve"> </w:t>
      </w:r>
      <w:r w:rsidR="00F95229">
        <w:t>producto de</w:t>
      </w:r>
      <w:r w:rsidR="00C431E5">
        <w:t xml:space="preserve"> la colocación</w:t>
      </w:r>
      <w:r w:rsidR="003E2AD9">
        <w:t xml:space="preserve"> </w:t>
      </w:r>
      <w:r w:rsidR="004F757F">
        <w:t xml:space="preserve">neta </w:t>
      </w:r>
      <w:r w:rsidR="00C431E5">
        <w:t xml:space="preserve">de </w:t>
      </w:r>
      <w:r w:rsidR="00E87655">
        <w:t>títulos de deuda</w:t>
      </w:r>
      <w:r w:rsidR="00A24EC4">
        <w:t xml:space="preserve"> (bonos del tesoro)</w:t>
      </w:r>
      <w:r w:rsidR="00FB0C9C">
        <w:t xml:space="preserve">, </w:t>
      </w:r>
      <w:r w:rsidR="00CA37ED">
        <w:t>Q1,226</w:t>
      </w:r>
      <w:r w:rsidR="00E75580">
        <w:t>.0 millones</w:t>
      </w:r>
      <w:r w:rsidR="00CA37ED">
        <w:t xml:space="preserve"> por la </w:t>
      </w:r>
      <w:r w:rsidR="00E836CD">
        <w:t>amortización</w:t>
      </w:r>
      <w:r w:rsidR="003E2AD9">
        <w:t xml:space="preserve"> </w:t>
      </w:r>
      <w:r w:rsidR="004F757F">
        <w:t xml:space="preserve">neta </w:t>
      </w:r>
      <w:r w:rsidR="00E836CD">
        <w:t>realizada de préstamo</w:t>
      </w:r>
      <w:r w:rsidR="007F4895">
        <w:t>s</w:t>
      </w:r>
      <w:r w:rsidR="00FB0C9C">
        <w:t xml:space="preserve"> y una reducción de las cuentas por pagar de Q442.1 millones</w:t>
      </w:r>
      <w:r w:rsidR="00F6275C">
        <w:t>.</w:t>
      </w:r>
    </w:p>
    <w:p w14:paraId="61716B5A" w14:textId="77777777" w:rsidR="00996BD9" w:rsidRPr="00AC1506" w:rsidRDefault="00996BD9" w:rsidP="00122F2F"/>
    <w:tbl>
      <w:tblPr>
        <w:tblStyle w:val="Tablaconcuadrcula"/>
        <w:tblW w:w="942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397"/>
        <w:gridCol w:w="4028"/>
      </w:tblGrid>
      <w:tr w:rsidR="0061446B" w:rsidRPr="00AC1506" w14:paraId="5A6B12E2" w14:textId="77777777" w:rsidTr="006D1A13">
        <w:trPr>
          <w:trHeight w:val="274"/>
          <w:jc w:val="center"/>
        </w:trPr>
        <w:tc>
          <w:tcPr>
            <w:tcW w:w="9425" w:type="dxa"/>
            <w:gridSpan w:val="2"/>
          </w:tcPr>
          <w:p w14:paraId="4C44021A" w14:textId="544D721D" w:rsidR="0061446B" w:rsidRPr="00AC1506" w:rsidRDefault="0061446B" w:rsidP="000D2DE9">
            <w:pPr>
              <w:jc w:val="center"/>
              <w:rPr>
                <w:b/>
                <w:bCs/>
              </w:rPr>
            </w:pPr>
            <w:r w:rsidRPr="00AC1506">
              <w:rPr>
                <w:b/>
                <w:bCs/>
              </w:rPr>
              <w:t>Incurrimiento neto de pasivos</w:t>
            </w:r>
            <w:r w:rsidR="009D176B" w:rsidRPr="00AC1506">
              <w:rPr>
                <w:b/>
                <w:bCs/>
              </w:rPr>
              <w:t xml:space="preserve"> 202</w:t>
            </w:r>
            <w:r w:rsidR="00DE1A37">
              <w:rPr>
                <w:b/>
                <w:bCs/>
              </w:rPr>
              <w:t>1</w:t>
            </w:r>
            <w:r w:rsidR="009D176B" w:rsidRPr="00AC1506">
              <w:rPr>
                <w:b/>
                <w:bCs/>
              </w:rPr>
              <w:t>*</w:t>
            </w:r>
          </w:p>
          <w:p w14:paraId="1D8D8D1B" w14:textId="68E6BD4C" w:rsidR="0061446B" w:rsidRPr="00AC1506" w:rsidRDefault="0061446B" w:rsidP="00D319A6">
            <w:pPr>
              <w:jc w:val="center"/>
            </w:pPr>
            <w:r w:rsidRPr="00AC1506">
              <w:rPr>
                <w:sz w:val="20"/>
                <w:szCs w:val="22"/>
              </w:rPr>
              <w:t xml:space="preserve">En </w:t>
            </w:r>
            <w:r w:rsidR="006535F3" w:rsidRPr="00AC1506">
              <w:rPr>
                <w:sz w:val="20"/>
                <w:szCs w:val="22"/>
              </w:rPr>
              <w:t>millones</w:t>
            </w:r>
            <w:r w:rsidRPr="00AC1506">
              <w:rPr>
                <w:sz w:val="20"/>
                <w:szCs w:val="22"/>
              </w:rPr>
              <w:t xml:space="preserve"> de Quetzales</w:t>
            </w:r>
          </w:p>
        </w:tc>
      </w:tr>
      <w:tr w:rsidR="00D36792" w:rsidRPr="00AC1506" w14:paraId="4F3B5502" w14:textId="77777777" w:rsidTr="006D1A13">
        <w:trPr>
          <w:trHeight w:val="2962"/>
          <w:jc w:val="center"/>
        </w:trPr>
        <w:tc>
          <w:tcPr>
            <w:tcW w:w="5397" w:type="dxa"/>
            <w:shd w:val="clear" w:color="auto" w:fill="auto"/>
          </w:tcPr>
          <w:p w14:paraId="58C04C48" w14:textId="506EDA07" w:rsidR="00F674B9" w:rsidRPr="00AC1506" w:rsidRDefault="00F674B9" w:rsidP="00950312">
            <w:r w:rsidRPr="00AC1506">
              <w:rPr>
                <w:noProof/>
                <w:lang w:eastAsia="es-GT"/>
              </w:rPr>
              <w:drawing>
                <wp:inline distT="0" distB="0" distL="0" distR="0" wp14:anchorId="4F3AC779" wp14:editId="6922FB2E">
                  <wp:extent cx="3370835" cy="2016125"/>
                  <wp:effectExtent l="0" t="0" r="1270" b="3175"/>
                  <wp:docPr id="10" name="Gráfico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tc>
        <w:tc>
          <w:tcPr>
            <w:tcW w:w="4027" w:type="dxa"/>
          </w:tcPr>
          <w:p w14:paraId="643B3A60" w14:textId="2C0681A2" w:rsidR="00F674B9" w:rsidRPr="00AC1506" w:rsidRDefault="00311363" w:rsidP="00122F2F">
            <w:r w:rsidRPr="00AC1506">
              <w:rPr>
                <w:noProof/>
                <w:lang w:eastAsia="es-GT"/>
              </w:rPr>
              <w:drawing>
                <wp:inline distT="0" distB="0" distL="0" distR="0" wp14:anchorId="10A80184" wp14:editId="43AF14E7">
                  <wp:extent cx="2548255" cy="2016125"/>
                  <wp:effectExtent l="0" t="0" r="4445" b="3175"/>
                  <wp:docPr id="19" name="Gráfico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tc>
      </w:tr>
    </w:tbl>
    <w:p w14:paraId="6A5269AC" w14:textId="77777777" w:rsidR="00757CF9" w:rsidRPr="00AC1506" w:rsidRDefault="00757CF9" w:rsidP="00C17472">
      <w:pPr>
        <w:rPr>
          <w:rFonts w:cs="Times New Roman"/>
          <w:sz w:val="16"/>
          <w:szCs w:val="22"/>
          <w:lang w:val="es-MX"/>
        </w:rPr>
      </w:pPr>
      <w:r w:rsidRPr="00AC1506">
        <w:rPr>
          <w:rFonts w:cs="Times New Roman"/>
          <w:sz w:val="16"/>
          <w:szCs w:val="22"/>
          <w:lang w:val="es-MX"/>
        </w:rPr>
        <w:t>*Cifras preliminares</w:t>
      </w:r>
    </w:p>
    <w:p w14:paraId="76ACDBF3" w14:textId="2B10BD3E" w:rsidR="00757CF9" w:rsidRDefault="00757CF9" w:rsidP="00C17472">
      <w:pPr>
        <w:rPr>
          <w:rFonts w:cs="Times New Roman"/>
          <w:sz w:val="16"/>
          <w:szCs w:val="22"/>
          <w:lang w:val="es-MX"/>
        </w:rPr>
      </w:pPr>
      <w:r w:rsidRPr="00AC1506">
        <w:rPr>
          <w:rFonts w:cs="Times New Roman"/>
          <w:sz w:val="16"/>
          <w:szCs w:val="22"/>
          <w:lang w:val="es-MX"/>
        </w:rPr>
        <w:t>Fuente: MINFIN</w:t>
      </w:r>
    </w:p>
    <w:p w14:paraId="3C38C3B3" w14:textId="26F5FFF7" w:rsidR="00C35F85" w:rsidRDefault="00C35F85" w:rsidP="00C17472">
      <w:pPr>
        <w:rPr>
          <w:rFonts w:cs="Times New Roman"/>
          <w:sz w:val="16"/>
          <w:szCs w:val="22"/>
          <w:lang w:val="es-MX"/>
        </w:rPr>
      </w:pPr>
    </w:p>
    <w:p w14:paraId="36D61A0C" w14:textId="43923855" w:rsidR="00F4077C" w:rsidRPr="00AC1506" w:rsidRDefault="00F4077C" w:rsidP="00C34A03">
      <w:pPr>
        <w:pStyle w:val="Prrafodelista"/>
        <w:numPr>
          <w:ilvl w:val="0"/>
          <w:numId w:val="1"/>
        </w:numPr>
        <w:ind w:left="426" w:hanging="426"/>
        <w:outlineLvl w:val="0"/>
        <w:rPr>
          <w:rFonts w:eastAsiaTheme="majorEastAsia" w:cs="Times New Roman"/>
          <w:b/>
          <w:bCs/>
          <w:sz w:val="24"/>
          <w:szCs w:val="26"/>
          <w:lang w:val="es-ES_tradnl" w:eastAsia="es-ES"/>
        </w:rPr>
      </w:pPr>
      <w:bookmarkStart w:id="456" w:name="_Toc42023970"/>
      <w:bookmarkStart w:id="457" w:name="_Toc42024021"/>
      <w:bookmarkStart w:id="458" w:name="_Toc42023971"/>
      <w:bookmarkStart w:id="459" w:name="_Toc42024022"/>
      <w:bookmarkStart w:id="460" w:name="_Toc42023972"/>
      <w:bookmarkStart w:id="461" w:name="_Toc42024023"/>
      <w:bookmarkStart w:id="462" w:name="_Toc42023973"/>
      <w:bookmarkStart w:id="463" w:name="_Toc42024024"/>
      <w:bookmarkStart w:id="464" w:name="_Toc83376487"/>
      <w:bookmarkEnd w:id="456"/>
      <w:bookmarkEnd w:id="457"/>
      <w:bookmarkEnd w:id="458"/>
      <w:bookmarkEnd w:id="459"/>
      <w:bookmarkEnd w:id="460"/>
      <w:bookmarkEnd w:id="461"/>
      <w:bookmarkEnd w:id="462"/>
      <w:bookmarkEnd w:id="463"/>
      <w:r w:rsidRPr="00AC1506">
        <w:rPr>
          <w:rFonts w:eastAsiaTheme="majorEastAsia" w:cs="Times New Roman"/>
          <w:b/>
          <w:bCs/>
          <w:sz w:val="24"/>
          <w:szCs w:val="26"/>
          <w:lang w:val="es-ES_tradnl" w:eastAsia="es-ES"/>
        </w:rPr>
        <w:t>Erogaciones</w:t>
      </w:r>
      <w:r w:rsidR="00B50E45" w:rsidRPr="00AC1506">
        <w:rPr>
          <w:rFonts w:eastAsiaTheme="majorEastAsia" w:cs="Times New Roman"/>
          <w:b/>
          <w:bCs/>
          <w:sz w:val="24"/>
          <w:szCs w:val="26"/>
          <w:lang w:val="es-ES_tradnl" w:eastAsia="es-ES"/>
        </w:rPr>
        <w:t xml:space="preserve"> del Gobierno Central Presupuestario</w:t>
      </w:r>
      <w:bookmarkEnd w:id="464"/>
    </w:p>
    <w:p w14:paraId="05EC6345" w14:textId="162B0184" w:rsidR="007A76CD" w:rsidRPr="00AC1506" w:rsidRDefault="007A76CD" w:rsidP="00594050">
      <w:pPr>
        <w:rPr>
          <w:rFonts w:cs="Times New Roman"/>
        </w:rPr>
      </w:pPr>
      <w:r w:rsidRPr="00AC1506">
        <w:rPr>
          <w:rFonts w:eastAsiaTheme="majorEastAsia"/>
          <w:noProof/>
          <w:lang w:eastAsia="es-GT"/>
        </w:rPr>
        <w:drawing>
          <wp:inline distT="0" distB="0" distL="0" distR="0" wp14:anchorId="77325B34" wp14:editId="59961A01">
            <wp:extent cx="5836920" cy="876300"/>
            <wp:effectExtent l="76200" t="38100" r="87630" b="114300"/>
            <wp:docPr id="22" name="Diagrama 2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8" r:lo="rId39" r:qs="rId40" r:cs="rId41"/>
              </a:graphicData>
            </a:graphic>
          </wp:inline>
        </w:drawing>
      </w:r>
    </w:p>
    <w:p w14:paraId="610733CC" w14:textId="77777777" w:rsidR="000F19C1" w:rsidRPr="000F19C1" w:rsidRDefault="000F19C1" w:rsidP="000F19C1">
      <w:pPr>
        <w:pStyle w:val="Prrafodelista"/>
        <w:keepNext/>
        <w:keepLines/>
        <w:numPr>
          <w:ilvl w:val="0"/>
          <w:numId w:val="43"/>
        </w:numPr>
        <w:tabs>
          <w:tab w:val="left" w:pos="426"/>
        </w:tabs>
        <w:spacing w:after="120"/>
        <w:contextualSpacing w:val="0"/>
        <w:outlineLvl w:val="1"/>
        <w:rPr>
          <w:rFonts w:eastAsiaTheme="majorEastAsia" w:cs="Times New Roman"/>
          <w:b/>
          <w:bCs/>
          <w:vanish/>
          <w:sz w:val="24"/>
          <w:szCs w:val="26"/>
          <w:lang w:eastAsia="es-ES"/>
        </w:rPr>
      </w:pPr>
      <w:bookmarkStart w:id="465" w:name="_Toc42023975"/>
      <w:bookmarkStart w:id="466" w:name="_Toc42024026"/>
      <w:bookmarkStart w:id="467" w:name="_Toc42069116"/>
      <w:bookmarkStart w:id="468" w:name="_Toc49422062"/>
      <w:bookmarkStart w:id="469" w:name="_Toc49422088"/>
      <w:bookmarkStart w:id="470" w:name="_Toc49430667"/>
      <w:bookmarkStart w:id="471" w:name="_Toc49430693"/>
      <w:bookmarkStart w:id="472" w:name="_Toc49750470"/>
      <w:bookmarkStart w:id="473" w:name="_Toc49750720"/>
      <w:bookmarkStart w:id="474" w:name="_Toc49750748"/>
      <w:bookmarkStart w:id="475" w:name="_Toc55284834"/>
      <w:bookmarkStart w:id="476" w:name="_Toc55298852"/>
      <w:bookmarkStart w:id="477" w:name="_Toc55373835"/>
      <w:bookmarkStart w:id="478" w:name="_Toc55374009"/>
      <w:bookmarkStart w:id="479" w:name="_Toc55375146"/>
      <w:bookmarkStart w:id="480" w:name="_Toc55396554"/>
      <w:bookmarkStart w:id="481" w:name="_Toc65230551"/>
      <w:bookmarkStart w:id="482" w:name="_Toc65230789"/>
      <w:bookmarkStart w:id="483" w:name="_Toc65232073"/>
      <w:bookmarkStart w:id="484" w:name="_Toc65232318"/>
      <w:bookmarkStart w:id="485" w:name="_Toc66716177"/>
      <w:bookmarkStart w:id="486" w:name="_Toc71097221"/>
      <w:bookmarkStart w:id="487" w:name="_Toc71097252"/>
      <w:bookmarkStart w:id="488" w:name="_Toc71097327"/>
      <w:bookmarkStart w:id="489" w:name="_Toc71108067"/>
      <w:bookmarkStart w:id="490" w:name="_Toc79055261"/>
      <w:bookmarkStart w:id="491" w:name="_Toc79055292"/>
      <w:bookmarkStart w:id="492" w:name="_Toc79060183"/>
      <w:bookmarkStart w:id="493" w:name="_Toc79060470"/>
      <w:bookmarkStart w:id="494" w:name="_Toc81307827"/>
      <w:bookmarkStart w:id="495" w:name="_Toc83376488"/>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p>
    <w:p w14:paraId="7A2C8EAB" w14:textId="77777777" w:rsidR="000F19C1" w:rsidRPr="000F19C1" w:rsidRDefault="000F19C1" w:rsidP="000F19C1">
      <w:pPr>
        <w:pStyle w:val="Prrafodelista"/>
        <w:keepNext/>
        <w:keepLines/>
        <w:numPr>
          <w:ilvl w:val="0"/>
          <w:numId w:val="43"/>
        </w:numPr>
        <w:tabs>
          <w:tab w:val="left" w:pos="426"/>
        </w:tabs>
        <w:spacing w:after="120"/>
        <w:contextualSpacing w:val="0"/>
        <w:outlineLvl w:val="1"/>
        <w:rPr>
          <w:rFonts w:eastAsiaTheme="majorEastAsia" w:cs="Times New Roman"/>
          <w:b/>
          <w:bCs/>
          <w:vanish/>
          <w:sz w:val="24"/>
          <w:szCs w:val="26"/>
          <w:lang w:eastAsia="es-ES"/>
        </w:rPr>
      </w:pPr>
      <w:bookmarkStart w:id="496" w:name="_Toc55374010"/>
      <w:bookmarkStart w:id="497" w:name="_Toc55375147"/>
      <w:bookmarkStart w:id="498" w:name="_Toc55396555"/>
      <w:bookmarkStart w:id="499" w:name="_Toc65230552"/>
      <w:bookmarkStart w:id="500" w:name="_Toc65230790"/>
      <w:bookmarkStart w:id="501" w:name="_Toc65232074"/>
      <w:bookmarkStart w:id="502" w:name="_Toc65232319"/>
      <w:bookmarkStart w:id="503" w:name="_Toc66716178"/>
      <w:bookmarkStart w:id="504" w:name="_Toc71097222"/>
      <w:bookmarkStart w:id="505" w:name="_Toc71097253"/>
      <w:bookmarkStart w:id="506" w:name="_Toc71097328"/>
      <w:bookmarkStart w:id="507" w:name="_Toc71108068"/>
      <w:bookmarkStart w:id="508" w:name="_Toc79055262"/>
      <w:bookmarkStart w:id="509" w:name="_Toc79055293"/>
      <w:bookmarkStart w:id="510" w:name="_Toc79060184"/>
      <w:bookmarkStart w:id="511" w:name="_Toc79060471"/>
      <w:bookmarkStart w:id="512" w:name="_Toc81307828"/>
      <w:bookmarkStart w:id="513" w:name="_Toc83376489"/>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p>
    <w:p w14:paraId="75B8F6A8" w14:textId="77777777" w:rsidR="000F19C1" w:rsidRPr="000F19C1" w:rsidRDefault="000F19C1" w:rsidP="000F19C1">
      <w:pPr>
        <w:pStyle w:val="Prrafodelista"/>
        <w:keepNext/>
        <w:keepLines/>
        <w:numPr>
          <w:ilvl w:val="0"/>
          <w:numId w:val="43"/>
        </w:numPr>
        <w:tabs>
          <w:tab w:val="left" w:pos="426"/>
        </w:tabs>
        <w:spacing w:after="120"/>
        <w:contextualSpacing w:val="0"/>
        <w:outlineLvl w:val="1"/>
        <w:rPr>
          <w:rFonts w:eastAsiaTheme="majorEastAsia" w:cs="Times New Roman"/>
          <w:b/>
          <w:bCs/>
          <w:vanish/>
          <w:sz w:val="24"/>
          <w:szCs w:val="26"/>
          <w:lang w:eastAsia="es-ES"/>
        </w:rPr>
      </w:pPr>
      <w:bookmarkStart w:id="514" w:name="_Toc55374011"/>
      <w:bookmarkStart w:id="515" w:name="_Toc55375148"/>
      <w:bookmarkStart w:id="516" w:name="_Toc55396556"/>
      <w:bookmarkStart w:id="517" w:name="_Toc65230553"/>
      <w:bookmarkStart w:id="518" w:name="_Toc65230791"/>
      <w:bookmarkStart w:id="519" w:name="_Toc65232075"/>
      <w:bookmarkStart w:id="520" w:name="_Toc65232320"/>
      <w:bookmarkStart w:id="521" w:name="_Toc66716179"/>
      <w:bookmarkStart w:id="522" w:name="_Toc71097223"/>
      <w:bookmarkStart w:id="523" w:name="_Toc71097254"/>
      <w:bookmarkStart w:id="524" w:name="_Toc71097329"/>
      <w:bookmarkStart w:id="525" w:name="_Toc71108069"/>
      <w:bookmarkStart w:id="526" w:name="_Toc79055263"/>
      <w:bookmarkStart w:id="527" w:name="_Toc79055294"/>
      <w:bookmarkStart w:id="528" w:name="_Toc79060185"/>
      <w:bookmarkStart w:id="529" w:name="_Toc79060472"/>
      <w:bookmarkStart w:id="530" w:name="_Toc81307829"/>
      <w:bookmarkStart w:id="531" w:name="_Toc83376490"/>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p>
    <w:p w14:paraId="28E96994" w14:textId="77777777" w:rsidR="000F19C1" w:rsidRPr="000F19C1" w:rsidRDefault="000F19C1" w:rsidP="000F19C1">
      <w:pPr>
        <w:pStyle w:val="Prrafodelista"/>
        <w:keepNext/>
        <w:keepLines/>
        <w:numPr>
          <w:ilvl w:val="0"/>
          <w:numId w:val="43"/>
        </w:numPr>
        <w:tabs>
          <w:tab w:val="left" w:pos="426"/>
        </w:tabs>
        <w:spacing w:after="120"/>
        <w:contextualSpacing w:val="0"/>
        <w:outlineLvl w:val="1"/>
        <w:rPr>
          <w:rFonts w:eastAsiaTheme="majorEastAsia" w:cs="Times New Roman"/>
          <w:b/>
          <w:bCs/>
          <w:vanish/>
          <w:sz w:val="24"/>
          <w:szCs w:val="26"/>
          <w:lang w:eastAsia="es-ES"/>
        </w:rPr>
      </w:pPr>
      <w:bookmarkStart w:id="532" w:name="_Toc55374012"/>
      <w:bookmarkStart w:id="533" w:name="_Toc55375149"/>
      <w:bookmarkStart w:id="534" w:name="_Toc55396557"/>
      <w:bookmarkStart w:id="535" w:name="_Toc65230554"/>
      <w:bookmarkStart w:id="536" w:name="_Toc65230792"/>
      <w:bookmarkStart w:id="537" w:name="_Toc65232076"/>
      <w:bookmarkStart w:id="538" w:name="_Toc65232321"/>
      <w:bookmarkStart w:id="539" w:name="_Toc66716180"/>
      <w:bookmarkStart w:id="540" w:name="_Toc71097224"/>
      <w:bookmarkStart w:id="541" w:name="_Toc71097255"/>
      <w:bookmarkStart w:id="542" w:name="_Toc71097330"/>
      <w:bookmarkStart w:id="543" w:name="_Toc71108070"/>
      <w:bookmarkStart w:id="544" w:name="_Toc79055264"/>
      <w:bookmarkStart w:id="545" w:name="_Toc79055295"/>
      <w:bookmarkStart w:id="546" w:name="_Toc79060186"/>
      <w:bookmarkStart w:id="547" w:name="_Toc79060473"/>
      <w:bookmarkStart w:id="548" w:name="_Toc81307830"/>
      <w:bookmarkStart w:id="549" w:name="_Toc8337649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p>
    <w:p w14:paraId="6DDEDF75" w14:textId="77777777" w:rsidR="000F19C1" w:rsidRPr="000F19C1" w:rsidRDefault="000F19C1" w:rsidP="000F19C1">
      <w:pPr>
        <w:pStyle w:val="Prrafodelista"/>
        <w:keepNext/>
        <w:keepLines/>
        <w:numPr>
          <w:ilvl w:val="0"/>
          <w:numId w:val="43"/>
        </w:numPr>
        <w:tabs>
          <w:tab w:val="left" w:pos="426"/>
        </w:tabs>
        <w:spacing w:after="120"/>
        <w:contextualSpacing w:val="0"/>
        <w:outlineLvl w:val="1"/>
        <w:rPr>
          <w:rFonts w:eastAsiaTheme="majorEastAsia" w:cs="Times New Roman"/>
          <w:b/>
          <w:bCs/>
          <w:vanish/>
          <w:sz w:val="24"/>
          <w:szCs w:val="26"/>
          <w:lang w:eastAsia="es-ES"/>
        </w:rPr>
      </w:pPr>
      <w:bookmarkStart w:id="550" w:name="_Toc55374013"/>
      <w:bookmarkStart w:id="551" w:name="_Toc55375150"/>
      <w:bookmarkStart w:id="552" w:name="_Toc55396558"/>
      <w:bookmarkStart w:id="553" w:name="_Toc65230555"/>
      <w:bookmarkStart w:id="554" w:name="_Toc65230793"/>
      <w:bookmarkStart w:id="555" w:name="_Toc65232077"/>
      <w:bookmarkStart w:id="556" w:name="_Toc65232322"/>
      <w:bookmarkStart w:id="557" w:name="_Toc66716181"/>
      <w:bookmarkStart w:id="558" w:name="_Toc71097225"/>
      <w:bookmarkStart w:id="559" w:name="_Toc71097256"/>
      <w:bookmarkStart w:id="560" w:name="_Toc71097331"/>
      <w:bookmarkStart w:id="561" w:name="_Toc71108071"/>
      <w:bookmarkStart w:id="562" w:name="_Toc79055265"/>
      <w:bookmarkStart w:id="563" w:name="_Toc79055296"/>
      <w:bookmarkStart w:id="564" w:name="_Toc79060187"/>
      <w:bookmarkStart w:id="565" w:name="_Toc79060474"/>
      <w:bookmarkStart w:id="566" w:name="_Toc81307831"/>
      <w:bookmarkStart w:id="567" w:name="_Toc83376492"/>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p>
    <w:p w14:paraId="5A528A9D" w14:textId="77777777" w:rsidR="00C56688" w:rsidRPr="00C56688" w:rsidRDefault="00C56688" w:rsidP="00C56688">
      <w:pPr>
        <w:pStyle w:val="Prrafodelista"/>
        <w:keepNext/>
        <w:keepLines/>
        <w:numPr>
          <w:ilvl w:val="0"/>
          <w:numId w:val="12"/>
        </w:numPr>
        <w:tabs>
          <w:tab w:val="left" w:pos="426"/>
        </w:tabs>
        <w:spacing w:after="120"/>
        <w:contextualSpacing w:val="0"/>
        <w:outlineLvl w:val="1"/>
        <w:rPr>
          <w:rFonts w:eastAsiaTheme="majorEastAsia" w:cs="Times New Roman"/>
          <w:b/>
          <w:bCs/>
          <w:vanish/>
          <w:sz w:val="24"/>
          <w:szCs w:val="26"/>
          <w:lang w:eastAsia="es-ES"/>
        </w:rPr>
      </w:pPr>
      <w:bookmarkStart w:id="568" w:name="_Toc55374014"/>
      <w:bookmarkStart w:id="569" w:name="_Toc55375151"/>
      <w:bookmarkStart w:id="570" w:name="_Toc55396559"/>
      <w:bookmarkStart w:id="571" w:name="_Toc65230556"/>
      <w:bookmarkStart w:id="572" w:name="_Toc65230794"/>
      <w:bookmarkStart w:id="573" w:name="_Toc65232078"/>
      <w:bookmarkStart w:id="574" w:name="_Toc65232323"/>
      <w:bookmarkStart w:id="575" w:name="_Toc66716182"/>
      <w:bookmarkStart w:id="576" w:name="_Toc71097226"/>
      <w:bookmarkStart w:id="577" w:name="_Toc71097257"/>
      <w:bookmarkStart w:id="578" w:name="_Toc71097332"/>
      <w:bookmarkStart w:id="579" w:name="_Toc71108072"/>
      <w:bookmarkStart w:id="580" w:name="_Toc79055266"/>
      <w:bookmarkStart w:id="581" w:name="_Toc79055297"/>
      <w:bookmarkStart w:id="582" w:name="_Toc79060188"/>
      <w:bookmarkStart w:id="583" w:name="_Toc79060475"/>
      <w:bookmarkStart w:id="584" w:name="_Toc81307832"/>
      <w:bookmarkStart w:id="585" w:name="_Toc83376493"/>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p>
    <w:p w14:paraId="0AE5E41B" w14:textId="5966DDA9" w:rsidR="00490038" w:rsidRPr="00C56688" w:rsidRDefault="00490038" w:rsidP="00C56688">
      <w:pPr>
        <w:pStyle w:val="Ttulo2"/>
        <w:numPr>
          <w:ilvl w:val="1"/>
          <w:numId w:val="12"/>
        </w:numPr>
        <w:tabs>
          <w:tab w:val="left" w:pos="426"/>
        </w:tabs>
        <w:spacing w:before="0"/>
        <w:rPr>
          <w:rFonts w:ascii="Times New Roman" w:hAnsi="Times New Roman" w:cs="Times New Roman"/>
          <w:color w:val="auto"/>
          <w:sz w:val="24"/>
        </w:rPr>
      </w:pPr>
      <w:bookmarkStart w:id="586" w:name="_Toc83376494"/>
      <w:r w:rsidRPr="00AC1506">
        <w:rPr>
          <w:rFonts w:ascii="Times New Roman" w:hAnsi="Times New Roman" w:cs="Times New Roman"/>
          <w:color w:val="auto"/>
          <w:sz w:val="24"/>
        </w:rPr>
        <w:t>Erogaciones por Función</w:t>
      </w:r>
      <w:bookmarkEnd w:id="586"/>
    </w:p>
    <w:p w14:paraId="500EFEF4" w14:textId="15F84FEC" w:rsidR="00055DD0" w:rsidRDefault="00984757" w:rsidP="00CD34D6">
      <w:pPr>
        <w:rPr>
          <w:rFonts w:cs="Times New Roman"/>
        </w:rPr>
      </w:pPr>
      <w:r w:rsidRPr="00AC1506">
        <w:rPr>
          <w:rFonts w:cs="Times New Roman"/>
        </w:rPr>
        <w:t xml:space="preserve">La </w:t>
      </w:r>
      <w:r w:rsidR="009D139A" w:rsidRPr="00AC1506">
        <w:rPr>
          <w:rFonts w:cs="Times New Roman"/>
        </w:rPr>
        <w:t xml:space="preserve">erogación del </w:t>
      </w:r>
      <w:r w:rsidR="00626984" w:rsidRPr="00AC1506">
        <w:rPr>
          <w:rFonts w:cs="Times New Roman"/>
        </w:rPr>
        <w:t>G</w:t>
      </w:r>
      <w:r w:rsidR="009D139A" w:rsidRPr="00AC1506">
        <w:rPr>
          <w:rFonts w:cs="Times New Roman"/>
        </w:rPr>
        <w:t xml:space="preserve">obierno </w:t>
      </w:r>
      <w:r w:rsidR="00626984" w:rsidRPr="00AC1506">
        <w:rPr>
          <w:rFonts w:cs="Times New Roman"/>
        </w:rPr>
        <w:t>C</w:t>
      </w:r>
      <w:r w:rsidR="009D139A" w:rsidRPr="00AC1506">
        <w:rPr>
          <w:rFonts w:cs="Times New Roman"/>
        </w:rPr>
        <w:t xml:space="preserve">entral </w:t>
      </w:r>
      <w:r w:rsidR="00626984" w:rsidRPr="00AC1506">
        <w:rPr>
          <w:rFonts w:cs="Times New Roman"/>
        </w:rPr>
        <w:t>P</w:t>
      </w:r>
      <w:r w:rsidR="009D139A" w:rsidRPr="00AC1506">
        <w:rPr>
          <w:rFonts w:cs="Times New Roman"/>
        </w:rPr>
        <w:t xml:space="preserve">resupuestario </w:t>
      </w:r>
      <w:r w:rsidR="00494972">
        <w:rPr>
          <w:rFonts w:cs="Times New Roman"/>
        </w:rPr>
        <w:t>a</w:t>
      </w:r>
      <w:r w:rsidR="009D139A" w:rsidRPr="00AC1506">
        <w:rPr>
          <w:rFonts w:cs="Times New Roman"/>
        </w:rPr>
        <w:t xml:space="preserve"> </w:t>
      </w:r>
      <w:r w:rsidR="002C66E8">
        <w:rPr>
          <w:rFonts w:cs="Times New Roman"/>
        </w:rPr>
        <w:t>junio</w:t>
      </w:r>
      <w:r w:rsidR="00494972">
        <w:rPr>
          <w:rFonts w:cs="Times New Roman"/>
        </w:rPr>
        <w:t xml:space="preserve"> 2021</w:t>
      </w:r>
      <w:r w:rsidR="00C248CC">
        <w:rPr>
          <w:rFonts w:cs="Times New Roman"/>
        </w:rPr>
        <w:t xml:space="preserve"> asciende a </w:t>
      </w:r>
      <w:r w:rsidR="009D139A" w:rsidRPr="00AC1506">
        <w:rPr>
          <w:rFonts w:cs="Times New Roman"/>
        </w:rPr>
        <w:t>Q</w:t>
      </w:r>
      <w:r w:rsidR="00A81A50">
        <w:rPr>
          <w:rFonts w:cs="Times New Roman"/>
        </w:rPr>
        <w:t>40</w:t>
      </w:r>
      <w:r w:rsidR="009D139A" w:rsidRPr="00AC1506">
        <w:rPr>
          <w:rFonts w:cs="Times New Roman"/>
        </w:rPr>
        <w:t>,</w:t>
      </w:r>
      <w:r w:rsidR="00A81A50">
        <w:rPr>
          <w:rFonts w:cs="Times New Roman"/>
        </w:rPr>
        <w:t>84</w:t>
      </w:r>
      <w:r w:rsidR="000918BC">
        <w:rPr>
          <w:rFonts w:cs="Times New Roman"/>
        </w:rPr>
        <w:t>0</w:t>
      </w:r>
      <w:r w:rsidR="00A81A50">
        <w:rPr>
          <w:rFonts w:cs="Times New Roman"/>
        </w:rPr>
        <w:t>.</w:t>
      </w:r>
      <w:r w:rsidR="00371944">
        <w:rPr>
          <w:rFonts w:cs="Times New Roman"/>
        </w:rPr>
        <w:t>2</w:t>
      </w:r>
      <w:r w:rsidR="009D139A" w:rsidRPr="00AC1506">
        <w:rPr>
          <w:rFonts w:cs="Times New Roman"/>
        </w:rPr>
        <w:t xml:space="preserve"> millones</w:t>
      </w:r>
      <w:r w:rsidR="00A81A50">
        <w:rPr>
          <w:rFonts w:cs="Times New Roman"/>
        </w:rPr>
        <w:t xml:space="preserve"> con </w:t>
      </w:r>
      <w:r w:rsidR="002375A0">
        <w:rPr>
          <w:rFonts w:cs="Times New Roman"/>
        </w:rPr>
        <w:t>un</w:t>
      </w:r>
      <w:r w:rsidR="00A81A50">
        <w:rPr>
          <w:rFonts w:cs="Times New Roman"/>
        </w:rPr>
        <w:t>a var</w:t>
      </w:r>
      <w:r w:rsidR="000003CC">
        <w:rPr>
          <w:rFonts w:cs="Times New Roman"/>
        </w:rPr>
        <w:t>iación</w:t>
      </w:r>
      <w:r w:rsidR="002375A0">
        <w:rPr>
          <w:rFonts w:cs="Times New Roman"/>
        </w:rPr>
        <w:t xml:space="preserve"> interanual del </w:t>
      </w:r>
      <w:r w:rsidR="000003CC">
        <w:rPr>
          <w:rFonts w:cs="Times New Roman"/>
        </w:rPr>
        <w:t>4</w:t>
      </w:r>
      <w:r w:rsidR="002375A0">
        <w:rPr>
          <w:rFonts w:cs="Times New Roman"/>
        </w:rPr>
        <w:t>.</w:t>
      </w:r>
      <w:r w:rsidR="000003CC">
        <w:rPr>
          <w:rFonts w:cs="Times New Roman"/>
        </w:rPr>
        <w:t>1</w:t>
      </w:r>
      <w:r w:rsidR="0040414E">
        <w:rPr>
          <w:rFonts w:cs="Times New Roman"/>
        </w:rPr>
        <w:t xml:space="preserve">% </w:t>
      </w:r>
      <w:r w:rsidR="000003CC">
        <w:rPr>
          <w:rFonts w:cs="Times New Roman"/>
        </w:rPr>
        <w:t>(</w:t>
      </w:r>
      <w:r w:rsidR="009627BC" w:rsidRPr="00AC1506">
        <w:rPr>
          <w:rFonts w:cs="Times New Roman"/>
        </w:rPr>
        <w:t>Q</w:t>
      </w:r>
      <w:r w:rsidR="000003CC">
        <w:rPr>
          <w:rFonts w:cs="Times New Roman"/>
        </w:rPr>
        <w:t>1,60</w:t>
      </w:r>
      <w:r w:rsidR="00371944">
        <w:rPr>
          <w:rFonts w:cs="Times New Roman"/>
        </w:rPr>
        <w:t>2</w:t>
      </w:r>
      <w:r w:rsidR="000003CC">
        <w:rPr>
          <w:rFonts w:cs="Times New Roman"/>
        </w:rPr>
        <w:t>.</w:t>
      </w:r>
      <w:r w:rsidR="00371944">
        <w:rPr>
          <w:rFonts w:cs="Times New Roman"/>
        </w:rPr>
        <w:t>3</w:t>
      </w:r>
      <w:r w:rsidR="009627BC" w:rsidRPr="00AC1506">
        <w:rPr>
          <w:rFonts w:cs="Times New Roman"/>
        </w:rPr>
        <w:t xml:space="preserve"> millones</w:t>
      </w:r>
      <w:r w:rsidR="000003CC">
        <w:rPr>
          <w:rFonts w:cs="Times New Roman"/>
        </w:rPr>
        <w:t>)</w:t>
      </w:r>
      <w:r w:rsidR="009F28DC">
        <w:rPr>
          <w:rFonts w:cs="Times New Roman"/>
        </w:rPr>
        <w:t xml:space="preserve">. </w:t>
      </w:r>
      <w:r w:rsidR="00201941">
        <w:rPr>
          <w:rFonts w:cs="Times New Roman"/>
        </w:rPr>
        <w:t xml:space="preserve">El mayor incremento </w:t>
      </w:r>
      <w:r w:rsidR="00BB5924">
        <w:rPr>
          <w:rFonts w:cs="Times New Roman"/>
        </w:rPr>
        <w:t xml:space="preserve">se encuentra en las erogaciones </w:t>
      </w:r>
      <w:r w:rsidR="001C677D">
        <w:rPr>
          <w:rFonts w:cs="Times New Roman"/>
        </w:rPr>
        <w:t>para la</w:t>
      </w:r>
      <w:r w:rsidR="005F2D60">
        <w:rPr>
          <w:rFonts w:cs="Times New Roman"/>
        </w:rPr>
        <w:t xml:space="preserve"> función de</w:t>
      </w:r>
      <w:r w:rsidR="00BB5924">
        <w:rPr>
          <w:rFonts w:cs="Times New Roman"/>
        </w:rPr>
        <w:t xml:space="preserve"> salud, las cuales ascienden a </w:t>
      </w:r>
      <w:r w:rsidR="005F2D60">
        <w:rPr>
          <w:rFonts w:cs="Times New Roman"/>
        </w:rPr>
        <w:t>Q</w:t>
      </w:r>
      <w:r w:rsidR="00F8047F">
        <w:rPr>
          <w:rFonts w:cs="Times New Roman"/>
        </w:rPr>
        <w:t>4</w:t>
      </w:r>
      <w:r w:rsidR="005F2D60">
        <w:rPr>
          <w:rFonts w:cs="Times New Roman"/>
        </w:rPr>
        <w:t>,</w:t>
      </w:r>
      <w:r w:rsidR="00F8047F">
        <w:rPr>
          <w:rFonts w:cs="Times New Roman"/>
        </w:rPr>
        <w:t>4</w:t>
      </w:r>
      <w:r w:rsidR="005F2D60">
        <w:rPr>
          <w:rFonts w:cs="Times New Roman"/>
        </w:rPr>
        <w:t>1</w:t>
      </w:r>
      <w:r w:rsidR="00F8047F">
        <w:rPr>
          <w:rFonts w:cs="Times New Roman"/>
        </w:rPr>
        <w:t>8</w:t>
      </w:r>
      <w:r w:rsidR="005F2D60">
        <w:rPr>
          <w:rFonts w:cs="Times New Roman"/>
        </w:rPr>
        <w:t>.</w:t>
      </w:r>
      <w:r w:rsidR="00F8047F">
        <w:rPr>
          <w:rFonts w:cs="Times New Roman"/>
        </w:rPr>
        <w:t>5</w:t>
      </w:r>
      <w:r w:rsidR="005F2D60">
        <w:rPr>
          <w:rFonts w:cs="Times New Roman"/>
        </w:rPr>
        <w:t xml:space="preserve"> millones</w:t>
      </w:r>
      <w:r w:rsidR="00F8047F">
        <w:rPr>
          <w:rFonts w:cs="Times New Roman"/>
        </w:rPr>
        <w:t xml:space="preserve"> y teniendo </w:t>
      </w:r>
      <w:r w:rsidR="005F2D60">
        <w:rPr>
          <w:rFonts w:cs="Times New Roman"/>
        </w:rPr>
        <w:t xml:space="preserve">un </w:t>
      </w:r>
      <w:r w:rsidR="00F8047F">
        <w:rPr>
          <w:rFonts w:cs="Times New Roman"/>
        </w:rPr>
        <w:t>crecimiento</w:t>
      </w:r>
      <w:r w:rsidR="005F2D60">
        <w:rPr>
          <w:rFonts w:cs="Times New Roman"/>
        </w:rPr>
        <w:t xml:space="preserve"> interanual </w:t>
      </w:r>
      <w:r w:rsidR="006A71A2">
        <w:rPr>
          <w:rFonts w:cs="Times New Roman"/>
        </w:rPr>
        <w:t xml:space="preserve">del </w:t>
      </w:r>
      <w:r w:rsidR="00E17E79">
        <w:rPr>
          <w:rFonts w:cs="Times New Roman"/>
        </w:rPr>
        <w:t>40</w:t>
      </w:r>
      <w:r w:rsidR="006A71A2">
        <w:rPr>
          <w:rFonts w:cs="Times New Roman"/>
        </w:rPr>
        <w:t>.</w:t>
      </w:r>
      <w:r w:rsidR="00E17E79">
        <w:rPr>
          <w:rFonts w:cs="Times New Roman"/>
        </w:rPr>
        <w:t>8</w:t>
      </w:r>
      <w:r w:rsidR="006A71A2">
        <w:rPr>
          <w:rFonts w:cs="Times New Roman"/>
        </w:rPr>
        <w:t>% (Q</w:t>
      </w:r>
      <w:r w:rsidR="00E17E79">
        <w:rPr>
          <w:rFonts w:cs="Times New Roman"/>
        </w:rPr>
        <w:t>1,281.4</w:t>
      </w:r>
      <w:r w:rsidR="006A71A2">
        <w:rPr>
          <w:rFonts w:cs="Times New Roman"/>
        </w:rPr>
        <w:t xml:space="preserve"> millones)</w:t>
      </w:r>
      <w:r w:rsidR="001C677D">
        <w:rPr>
          <w:rFonts w:cs="Times New Roman"/>
        </w:rPr>
        <w:t xml:space="preserve"> seguido por </w:t>
      </w:r>
      <w:r w:rsidR="00071810">
        <w:rPr>
          <w:rFonts w:cs="Times New Roman"/>
        </w:rPr>
        <w:t xml:space="preserve">las erogaciones enfocadas en </w:t>
      </w:r>
      <w:r w:rsidR="00E17E79">
        <w:rPr>
          <w:rFonts w:cs="Times New Roman"/>
        </w:rPr>
        <w:t xml:space="preserve">servicios públicos generales las cuales ascienden a </w:t>
      </w:r>
      <w:r w:rsidR="00095331">
        <w:rPr>
          <w:rFonts w:cs="Times New Roman"/>
        </w:rPr>
        <w:t>Q8,408.5 millones y siendo un incremento del 16.9% (</w:t>
      </w:r>
      <w:r w:rsidR="00861352">
        <w:rPr>
          <w:rFonts w:cs="Times New Roman"/>
        </w:rPr>
        <w:t>Q</w:t>
      </w:r>
      <w:r w:rsidR="000B1376">
        <w:rPr>
          <w:rFonts w:cs="Times New Roman"/>
        </w:rPr>
        <w:t>1,217.8</w:t>
      </w:r>
      <w:r w:rsidR="00861352">
        <w:rPr>
          <w:rFonts w:cs="Times New Roman"/>
        </w:rPr>
        <w:t>)</w:t>
      </w:r>
      <w:r w:rsidR="00095331">
        <w:rPr>
          <w:rFonts w:cs="Times New Roman"/>
        </w:rPr>
        <w:t xml:space="preserve"> respecto a lo observado en 20</w:t>
      </w:r>
      <w:r w:rsidR="000B1376">
        <w:rPr>
          <w:rFonts w:cs="Times New Roman"/>
        </w:rPr>
        <w:t>20</w:t>
      </w:r>
      <w:r w:rsidR="00095331">
        <w:rPr>
          <w:rFonts w:cs="Times New Roman"/>
        </w:rPr>
        <w:t>.</w:t>
      </w:r>
      <w:r w:rsidR="00482E8E">
        <w:rPr>
          <w:rFonts w:cs="Times New Roman"/>
        </w:rPr>
        <w:t xml:space="preserve"> El mayor incremento en esta </w:t>
      </w:r>
      <w:r w:rsidR="00E63F9A">
        <w:rPr>
          <w:rFonts w:cs="Times New Roman"/>
        </w:rPr>
        <w:t>última</w:t>
      </w:r>
      <w:r w:rsidR="00482E8E">
        <w:rPr>
          <w:rFonts w:cs="Times New Roman"/>
        </w:rPr>
        <w:t xml:space="preserve"> categoría se encuentra en los </w:t>
      </w:r>
      <w:r w:rsidR="00E63F9A">
        <w:rPr>
          <w:rFonts w:cs="Times New Roman"/>
        </w:rPr>
        <w:t xml:space="preserve">servicios de deuda pública los cuales tuvieron un incremento del </w:t>
      </w:r>
      <w:r w:rsidR="00873CE6">
        <w:rPr>
          <w:rFonts w:cs="Times New Roman"/>
        </w:rPr>
        <w:t>15.7% (Q755.0 millones)</w:t>
      </w:r>
      <w:r w:rsidR="00F76F31">
        <w:rPr>
          <w:rFonts w:cs="Times New Roman"/>
        </w:rPr>
        <w:t>.</w:t>
      </w:r>
      <w:r w:rsidR="00BF1A44">
        <w:rPr>
          <w:rFonts w:cs="Times New Roman"/>
        </w:rPr>
        <w:t xml:space="preserve"> </w:t>
      </w:r>
    </w:p>
    <w:p w14:paraId="4333B82C" w14:textId="77777777" w:rsidR="00055DD0" w:rsidRDefault="00055DD0" w:rsidP="00CD34D6">
      <w:pPr>
        <w:rPr>
          <w:rFonts w:cs="Times New Roman"/>
        </w:rPr>
      </w:pPr>
    </w:p>
    <w:p w14:paraId="7EA49BC5" w14:textId="583E74EE" w:rsidR="009D139A" w:rsidRPr="00AC1506" w:rsidRDefault="00BF1A44" w:rsidP="00CD34D6">
      <w:pPr>
        <w:rPr>
          <w:rFonts w:cs="Times New Roman"/>
        </w:rPr>
      </w:pPr>
      <w:r>
        <w:rPr>
          <w:rFonts w:cs="Times New Roman"/>
        </w:rPr>
        <w:t xml:space="preserve">Así mismo, </w:t>
      </w:r>
      <w:r w:rsidR="00ED0939">
        <w:rPr>
          <w:rFonts w:cs="Times New Roman"/>
        </w:rPr>
        <w:t>la erogación en asuntos económicos al mes de junio asciende</w:t>
      </w:r>
      <w:r w:rsidR="00B837DC">
        <w:rPr>
          <w:rFonts w:cs="Times New Roman"/>
        </w:rPr>
        <w:t xml:space="preserve"> a Q3,446.0 millones con una variación interanual del </w:t>
      </w:r>
      <w:r w:rsidR="00FF6B98">
        <w:rPr>
          <w:rFonts w:cs="Times New Roman"/>
        </w:rPr>
        <w:t>34.0% (Q875.0 millones)</w:t>
      </w:r>
      <w:r w:rsidR="00EE0B19">
        <w:rPr>
          <w:rFonts w:cs="Times New Roman"/>
        </w:rPr>
        <w:t xml:space="preserve"> y del cual el mayor incremento se encuentra en los </w:t>
      </w:r>
      <w:r w:rsidR="004F0C51">
        <w:rPr>
          <w:rFonts w:cs="Times New Roman"/>
        </w:rPr>
        <w:t xml:space="preserve">destinados al </w:t>
      </w:r>
      <w:r w:rsidR="000B072C">
        <w:rPr>
          <w:rFonts w:cs="Times New Roman"/>
        </w:rPr>
        <w:t>transporte</w:t>
      </w:r>
      <w:r w:rsidR="004F0C51">
        <w:rPr>
          <w:rFonts w:cs="Times New Roman"/>
        </w:rPr>
        <w:t xml:space="preserve"> </w:t>
      </w:r>
      <w:r w:rsidR="00A06980">
        <w:rPr>
          <w:rFonts w:cs="Times New Roman"/>
        </w:rPr>
        <w:t xml:space="preserve">que </w:t>
      </w:r>
      <w:r w:rsidR="00877494">
        <w:rPr>
          <w:rFonts w:cs="Times New Roman"/>
        </w:rPr>
        <w:t xml:space="preserve">incluye </w:t>
      </w:r>
      <w:r w:rsidR="00911A47">
        <w:rPr>
          <w:rFonts w:cs="Times New Roman"/>
        </w:rPr>
        <w:t xml:space="preserve">la construcción y mantenimiento de </w:t>
      </w:r>
      <w:r w:rsidR="00877494">
        <w:rPr>
          <w:rFonts w:cs="Times New Roman"/>
        </w:rPr>
        <w:t>carreteras</w:t>
      </w:r>
      <w:r w:rsidR="00C83A80">
        <w:rPr>
          <w:rFonts w:cs="Times New Roman"/>
        </w:rPr>
        <w:t>.</w:t>
      </w:r>
    </w:p>
    <w:p w14:paraId="4D8C3B1A" w14:textId="77777777" w:rsidR="002F5792" w:rsidRDefault="002F5792" w:rsidP="00CD34D6">
      <w:pPr>
        <w:rPr>
          <w:rFonts w:cs="Times New Roman"/>
        </w:rPr>
      </w:pPr>
    </w:p>
    <w:p w14:paraId="3E9ECE1E" w14:textId="07D38B79" w:rsidR="004E7411" w:rsidRPr="00AC1506" w:rsidRDefault="002F5792" w:rsidP="00CD34D6">
      <w:pPr>
        <w:rPr>
          <w:rFonts w:cs="Times New Roman"/>
        </w:rPr>
      </w:pPr>
      <w:r>
        <w:rPr>
          <w:rFonts w:cs="Times New Roman"/>
        </w:rPr>
        <w:t xml:space="preserve">En cuanto a </w:t>
      </w:r>
      <w:r w:rsidR="00AE440E">
        <w:rPr>
          <w:rFonts w:cs="Times New Roman"/>
        </w:rPr>
        <w:t>las erogaciones</w:t>
      </w:r>
      <w:r>
        <w:rPr>
          <w:rFonts w:cs="Times New Roman"/>
        </w:rPr>
        <w:t xml:space="preserve"> </w:t>
      </w:r>
      <w:r w:rsidR="00BE1DD4">
        <w:rPr>
          <w:rFonts w:cs="Times New Roman"/>
        </w:rPr>
        <w:t xml:space="preserve">enfocadas a la protección social, estas han ascendió a </w:t>
      </w:r>
      <w:r w:rsidR="00E76C09">
        <w:rPr>
          <w:rFonts w:cs="Times New Roman"/>
        </w:rPr>
        <w:t>Q4,5</w:t>
      </w:r>
      <w:r w:rsidR="00A06980">
        <w:rPr>
          <w:rFonts w:cs="Times New Roman"/>
        </w:rPr>
        <w:t>98.6</w:t>
      </w:r>
      <w:r w:rsidR="00E76C09">
        <w:rPr>
          <w:rFonts w:cs="Times New Roman"/>
        </w:rPr>
        <w:t xml:space="preserve"> millones siendo</w:t>
      </w:r>
      <w:r w:rsidR="00A533AF">
        <w:rPr>
          <w:rFonts w:cs="Times New Roman"/>
        </w:rPr>
        <w:t xml:space="preserve"> una</w:t>
      </w:r>
      <w:r w:rsidR="00C83A80">
        <w:rPr>
          <w:rFonts w:cs="Times New Roman"/>
        </w:rPr>
        <w:t xml:space="preserve"> </w:t>
      </w:r>
      <w:r w:rsidR="00E76C09">
        <w:rPr>
          <w:rFonts w:cs="Times New Roman"/>
        </w:rPr>
        <w:t>disminución</w:t>
      </w:r>
      <w:r w:rsidR="00AE440E">
        <w:rPr>
          <w:rFonts w:cs="Times New Roman"/>
        </w:rPr>
        <w:t xml:space="preserve"> </w:t>
      </w:r>
      <w:r w:rsidR="00E76C09">
        <w:rPr>
          <w:rFonts w:cs="Times New Roman"/>
        </w:rPr>
        <w:t>de</w:t>
      </w:r>
      <w:r w:rsidR="0090215A">
        <w:rPr>
          <w:rFonts w:cs="Times New Roman"/>
        </w:rPr>
        <w:t>l</w:t>
      </w:r>
      <w:r w:rsidR="00E76C09">
        <w:rPr>
          <w:rFonts w:cs="Times New Roman"/>
        </w:rPr>
        <w:t xml:space="preserve"> 33.3% (Q2,29</w:t>
      </w:r>
      <w:r w:rsidR="0072534C">
        <w:rPr>
          <w:rFonts w:cs="Times New Roman"/>
        </w:rPr>
        <w:t>6.0</w:t>
      </w:r>
      <w:r w:rsidR="00E76C09">
        <w:rPr>
          <w:rFonts w:cs="Times New Roman"/>
        </w:rPr>
        <w:t xml:space="preserve"> millones)</w:t>
      </w:r>
      <w:r w:rsidR="00BA39CA">
        <w:rPr>
          <w:rFonts w:cs="Times New Roman"/>
        </w:rPr>
        <w:t xml:space="preserve"> </w:t>
      </w:r>
      <w:r w:rsidR="0090215A">
        <w:rPr>
          <w:rFonts w:cs="Times New Roman"/>
        </w:rPr>
        <w:t xml:space="preserve">respecto a lo observado en 2020 </w:t>
      </w:r>
      <w:r w:rsidR="00BA39CA">
        <w:rPr>
          <w:rFonts w:cs="Times New Roman"/>
        </w:rPr>
        <w:t>y</w:t>
      </w:r>
      <w:r w:rsidR="0090215A">
        <w:rPr>
          <w:rFonts w:cs="Times New Roman"/>
        </w:rPr>
        <w:t xml:space="preserve"> que en buena medida es explicado por </w:t>
      </w:r>
      <w:r w:rsidR="00E72637">
        <w:rPr>
          <w:rFonts w:cs="Times New Roman"/>
        </w:rPr>
        <w:t xml:space="preserve">el </w:t>
      </w:r>
      <w:r w:rsidR="00A3563A">
        <w:rPr>
          <w:rFonts w:cs="Times New Roman"/>
        </w:rPr>
        <w:t>B</w:t>
      </w:r>
      <w:r w:rsidR="00E72637">
        <w:rPr>
          <w:rFonts w:cs="Times New Roman"/>
        </w:rPr>
        <w:t xml:space="preserve">ono </w:t>
      </w:r>
      <w:r w:rsidR="00A3563A">
        <w:rPr>
          <w:rFonts w:cs="Times New Roman"/>
        </w:rPr>
        <w:t>F</w:t>
      </w:r>
      <w:r w:rsidR="00E72637">
        <w:rPr>
          <w:rFonts w:cs="Times New Roman"/>
        </w:rPr>
        <w:t xml:space="preserve">amilia y </w:t>
      </w:r>
      <w:r w:rsidR="00074476">
        <w:rPr>
          <w:rFonts w:cs="Times New Roman"/>
        </w:rPr>
        <w:t xml:space="preserve">el </w:t>
      </w:r>
      <w:r w:rsidR="00A3563A">
        <w:rPr>
          <w:rFonts w:cs="Times New Roman"/>
        </w:rPr>
        <w:t>B</w:t>
      </w:r>
      <w:r w:rsidR="00074476">
        <w:rPr>
          <w:rFonts w:cs="Times New Roman"/>
        </w:rPr>
        <w:t xml:space="preserve">ono </w:t>
      </w:r>
      <w:r w:rsidR="00A3563A">
        <w:rPr>
          <w:rFonts w:cs="Times New Roman"/>
        </w:rPr>
        <w:t xml:space="preserve">de Protección de Empleo </w:t>
      </w:r>
      <w:r w:rsidR="007D244F">
        <w:rPr>
          <w:rFonts w:cs="Times New Roman"/>
        </w:rPr>
        <w:t xml:space="preserve">los cuales fueron creados y </w:t>
      </w:r>
      <w:r w:rsidR="007932FA">
        <w:rPr>
          <w:rFonts w:cs="Times New Roman"/>
        </w:rPr>
        <w:t>otorgados</w:t>
      </w:r>
      <w:r w:rsidR="002E2176">
        <w:rPr>
          <w:rFonts w:cs="Times New Roman"/>
        </w:rPr>
        <w:t>,</w:t>
      </w:r>
      <w:r w:rsidR="007932FA">
        <w:rPr>
          <w:rFonts w:cs="Times New Roman"/>
        </w:rPr>
        <w:t xml:space="preserve"> el año previo,</w:t>
      </w:r>
      <w:r w:rsidR="007D244F">
        <w:rPr>
          <w:rFonts w:cs="Times New Roman"/>
        </w:rPr>
        <w:t xml:space="preserve"> como una respuesta del Estado </w:t>
      </w:r>
      <w:r w:rsidR="007932FA">
        <w:rPr>
          <w:rFonts w:cs="Times New Roman"/>
        </w:rPr>
        <w:t>para mitigar</w:t>
      </w:r>
      <w:r w:rsidR="007D244F">
        <w:rPr>
          <w:rFonts w:cs="Times New Roman"/>
        </w:rPr>
        <w:t xml:space="preserve"> la situación vivida por la pandemia del Covid-19</w:t>
      </w:r>
      <w:r w:rsidR="00792103">
        <w:rPr>
          <w:rFonts w:cs="Times New Roman"/>
        </w:rPr>
        <w:t>.</w:t>
      </w:r>
    </w:p>
    <w:p w14:paraId="4430DE64" w14:textId="21D08C34" w:rsidR="009A4FAE" w:rsidRPr="00AC1506" w:rsidRDefault="009A4FAE" w:rsidP="00CD34D6">
      <w:pPr>
        <w:rPr>
          <w:rFonts w:cs="Times New Roman"/>
        </w:rPr>
      </w:pPr>
    </w:p>
    <w:p w14:paraId="499034FD" w14:textId="3C75DEC3" w:rsidR="00E9536D" w:rsidRDefault="002E109C" w:rsidP="00251A72">
      <w:pPr>
        <w:jc w:val="center"/>
        <w:rPr>
          <w:rFonts w:cs="Times New Roman"/>
        </w:rPr>
      </w:pPr>
      <w:r w:rsidRPr="00AC1506">
        <w:rPr>
          <w:rFonts w:cs="Times New Roman"/>
          <w:noProof/>
          <w:lang w:eastAsia="es-GT"/>
        </w:rPr>
        <w:lastRenderedPageBreak/>
        <w:drawing>
          <wp:inline distT="0" distB="0" distL="0" distR="0" wp14:anchorId="0508EADF" wp14:editId="4B536FC5">
            <wp:extent cx="5486400" cy="3057018"/>
            <wp:effectExtent l="0" t="0" r="0" b="0"/>
            <wp:docPr id="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10EFAFEA" w14:textId="77777777" w:rsidR="007B36AD" w:rsidRPr="00AC1506" w:rsidRDefault="007B36AD" w:rsidP="00251A72">
      <w:pPr>
        <w:jc w:val="center"/>
        <w:rPr>
          <w:rFonts w:cs="Times New Roman"/>
        </w:rPr>
      </w:pPr>
    </w:p>
    <w:p w14:paraId="68D0D8E3" w14:textId="38E0662A" w:rsidR="00513B56" w:rsidRDefault="001979A1" w:rsidP="00C56688">
      <w:pPr>
        <w:pStyle w:val="Ttulo2"/>
        <w:numPr>
          <w:ilvl w:val="1"/>
          <w:numId w:val="12"/>
        </w:numPr>
        <w:tabs>
          <w:tab w:val="left" w:pos="426"/>
        </w:tabs>
        <w:spacing w:before="0"/>
        <w:rPr>
          <w:rFonts w:ascii="Times New Roman" w:hAnsi="Times New Roman" w:cs="Times New Roman"/>
          <w:color w:val="auto"/>
          <w:sz w:val="24"/>
        </w:rPr>
      </w:pPr>
      <w:bookmarkStart w:id="587" w:name="_Toc83376495"/>
      <w:r w:rsidRPr="00AC1506">
        <w:rPr>
          <w:rFonts w:cs="Times New Roman"/>
          <w:noProof/>
          <w:sz w:val="18"/>
          <w:szCs w:val="18"/>
          <w:lang w:eastAsia="es-GT"/>
        </w:rPr>
        <w:drawing>
          <wp:anchor distT="0" distB="0" distL="114300" distR="114300" simplePos="0" relativeHeight="251658247" behindDoc="0" locked="0" layoutInCell="1" allowOverlap="1" wp14:anchorId="504800CF" wp14:editId="428E33EC">
            <wp:simplePos x="0" y="0"/>
            <wp:positionH relativeFrom="margin">
              <wp:posOffset>3016885</wp:posOffset>
            </wp:positionH>
            <wp:positionV relativeFrom="paragraph">
              <wp:posOffset>221615</wp:posOffset>
            </wp:positionV>
            <wp:extent cx="2846070" cy="4782820"/>
            <wp:effectExtent l="0" t="0" r="0" b="0"/>
            <wp:wrapSquare wrapText="bothSides"/>
            <wp:docPr id="30"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14:sizeRelH relativeFrom="page">
              <wp14:pctWidth>0</wp14:pctWidth>
            </wp14:sizeRelH>
            <wp14:sizeRelV relativeFrom="page">
              <wp14:pctHeight>0</wp14:pctHeight>
            </wp14:sizeRelV>
          </wp:anchor>
        </w:drawing>
      </w:r>
      <w:r w:rsidR="00513B56" w:rsidRPr="00AC1506">
        <w:rPr>
          <w:rFonts w:ascii="Times New Roman" w:hAnsi="Times New Roman" w:cs="Times New Roman"/>
          <w:color w:val="auto"/>
          <w:sz w:val="24"/>
        </w:rPr>
        <w:t>Grado de Ejecución</w:t>
      </w:r>
      <w:r w:rsidR="0040274D" w:rsidRPr="00AC1506">
        <w:rPr>
          <w:rFonts w:ascii="Times New Roman" w:hAnsi="Times New Roman" w:cs="Times New Roman"/>
          <w:color w:val="auto"/>
          <w:sz w:val="24"/>
        </w:rPr>
        <w:t xml:space="preserve"> Presupuestaria</w:t>
      </w:r>
      <w:bookmarkEnd w:id="587"/>
    </w:p>
    <w:p w14:paraId="64ED6320" w14:textId="383EF569" w:rsidR="00404F5A" w:rsidRPr="00A37DC2" w:rsidRDefault="009F58CE" w:rsidP="00404F5A">
      <w:pPr>
        <w:pStyle w:val="Sinespaciado"/>
        <w:jc w:val="both"/>
        <w:rPr>
          <w:rFonts w:ascii="Times New Roman" w:eastAsiaTheme="minorEastAsia" w:hAnsi="Times New Roman" w:cs="Times New Roman"/>
          <w:szCs w:val="24"/>
          <w:lang w:eastAsia="es-ES"/>
        </w:rPr>
      </w:pPr>
      <w:r w:rsidRPr="00A37DC2">
        <w:rPr>
          <w:rFonts w:ascii="Times New Roman" w:eastAsiaTheme="minorEastAsia" w:hAnsi="Times New Roman" w:cs="Times New Roman"/>
          <w:szCs w:val="24"/>
          <w:lang w:eastAsia="es-ES"/>
        </w:rPr>
        <w:t>A nivel de</w:t>
      </w:r>
      <w:r w:rsidR="00DB7BF9" w:rsidRPr="00A37DC2">
        <w:rPr>
          <w:rFonts w:ascii="Times New Roman" w:eastAsiaTheme="minorEastAsia" w:hAnsi="Times New Roman" w:cs="Times New Roman"/>
          <w:szCs w:val="24"/>
          <w:lang w:eastAsia="es-ES"/>
        </w:rPr>
        <w:t xml:space="preserve"> ejecución presupuestaria </w:t>
      </w:r>
      <w:r w:rsidR="00AA03C7" w:rsidRPr="00A37DC2">
        <w:rPr>
          <w:rFonts w:ascii="Times New Roman" w:eastAsiaTheme="minorEastAsia" w:hAnsi="Times New Roman" w:cs="Times New Roman"/>
          <w:szCs w:val="24"/>
          <w:lang w:eastAsia="es-ES"/>
        </w:rPr>
        <w:t>por entidades,</w:t>
      </w:r>
      <w:r w:rsidR="00404F5A" w:rsidRPr="00A37DC2">
        <w:rPr>
          <w:rFonts w:ascii="Times New Roman" w:eastAsiaTheme="minorEastAsia" w:hAnsi="Times New Roman" w:cs="Times New Roman"/>
          <w:szCs w:val="24"/>
          <w:lang w:eastAsia="es-ES"/>
        </w:rPr>
        <w:t xml:space="preserve"> muestran el mayor nivel de ejecución la PGN (52.9%), Deuda Pública (48.5%), Salud Pública (46.5%), Gobernación (45.4%), Educación (44.7%), Trabajo (43.4%), Ambiente (41.0%), MINREX (</w:t>
      </w:r>
      <w:r w:rsidR="00ED44B9">
        <w:rPr>
          <w:rFonts w:ascii="Times New Roman" w:eastAsiaTheme="minorEastAsia" w:hAnsi="Times New Roman" w:cs="Times New Roman"/>
          <w:szCs w:val="24"/>
          <w:lang w:eastAsia="es-ES"/>
        </w:rPr>
        <w:t>40</w:t>
      </w:r>
      <w:r w:rsidR="00404F5A" w:rsidRPr="00A37DC2">
        <w:rPr>
          <w:rFonts w:ascii="Times New Roman" w:eastAsiaTheme="minorEastAsia" w:hAnsi="Times New Roman" w:cs="Times New Roman"/>
          <w:szCs w:val="24"/>
          <w:lang w:eastAsia="es-ES"/>
        </w:rPr>
        <w:t>.</w:t>
      </w:r>
      <w:r w:rsidR="00ED44B9">
        <w:rPr>
          <w:rFonts w:ascii="Times New Roman" w:eastAsiaTheme="minorEastAsia" w:hAnsi="Times New Roman" w:cs="Times New Roman"/>
          <w:szCs w:val="24"/>
          <w:lang w:eastAsia="es-ES"/>
        </w:rPr>
        <w:t>6</w:t>
      </w:r>
      <w:r w:rsidR="00404F5A" w:rsidRPr="00A37DC2">
        <w:rPr>
          <w:rFonts w:ascii="Times New Roman" w:eastAsiaTheme="minorEastAsia" w:hAnsi="Times New Roman" w:cs="Times New Roman"/>
          <w:szCs w:val="24"/>
          <w:lang w:eastAsia="es-ES"/>
        </w:rPr>
        <w:t>%), Comunicaciones (38.9%) y Finanzas (38.6%), todas estas entidades se encuentran por arriba de la ejecución institucional total.  Por su parte, el resto de las entidades se encuentran por debajo de la ejecución total, resalta el caso de dos entidades, siendo las Obligaciones del Estado (30.0%) y Economía (30.0%).</w:t>
      </w:r>
    </w:p>
    <w:p w14:paraId="0200A370" w14:textId="77777777" w:rsidR="00404F5A" w:rsidRPr="00A37DC2" w:rsidRDefault="00404F5A" w:rsidP="00404F5A">
      <w:pPr>
        <w:pStyle w:val="Sinespaciado"/>
        <w:jc w:val="both"/>
        <w:rPr>
          <w:rFonts w:ascii="Times New Roman" w:eastAsiaTheme="minorEastAsia" w:hAnsi="Times New Roman" w:cs="Times New Roman"/>
          <w:szCs w:val="24"/>
          <w:lang w:eastAsia="es-ES"/>
        </w:rPr>
      </w:pPr>
    </w:p>
    <w:p w14:paraId="26A0C14E" w14:textId="77777777" w:rsidR="001E7E64" w:rsidRPr="00ED44B9" w:rsidRDefault="001E7E64" w:rsidP="001E7E64">
      <w:pPr>
        <w:pStyle w:val="Sinespaciado"/>
        <w:jc w:val="both"/>
        <w:rPr>
          <w:rFonts w:ascii="Times New Roman" w:eastAsiaTheme="minorEastAsia" w:hAnsi="Times New Roman" w:cs="Times New Roman"/>
          <w:szCs w:val="24"/>
          <w:lang w:eastAsia="es-ES"/>
        </w:rPr>
      </w:pPr>
      <w:r w:rsidRPr="00ED44B9">
        <w:rPr>
          <w:rFonts w:ascii="Times New Roman" w:eastAsiaTheme="minorEastAsia" w:hAnsi="Times New Roman" w:cs="Times New Roman"/>
          <w:szCs w:val="24"/>
          <w:lang w:eastAsia="es-ES"/>
        </w:rPr>
        <w:t xml:space="preserve">A principios de junio, se publicó el Acuerdo Gubernativo de Presupuesto 03-2021, en el cual se realiza un reordenamiento del Presupuesto de Egresos del Estado, se identificaron Q11,249.5 millones en asignaciones inmovilizadas, es decir, que no cuentan con respaldo financiero, en virtud que cumplieron los fines establecidos en la normativa legal correspondiente (ejercicio fiscal 2020).   En el caso de las Obligaciones del Estado, la baja ejecución se debe a que por medio del Acuerdo Gubernativo 03-2021 se le fijaron las asignaciones consideradas inmovilizadas, modificando el presupuesto de las entidades que tenían programas asociados a la atención de la crisis ocasionada por el COVID-19 hacia uno más acorde con su comportamiento histórico. </w:t>
      </w:r>
    </w:p>
    <w:p w14:paraId="6D6D61A5" w14:textId="77777777" w:rsidR="006245CF" w:rsidRDefault="006245CF" w:rsidP="006245CF">
      <w:pPr>
        <w:pStyle w:val="Sinespaciado"/>
        <w:jc w:val="both"/>
        <w:rPr>
          <w:rFonts w:ascii="Times New Roman" w:hAnsi="Times New Roman" w:cs="Times New Roman"/>
          <w:lang w:val="es-MX"/>
        </w:rPr>
      </w:pPr>
      <w:r w:rsidRPr="007C3874">
        <w:rPr>
          <w:rFonts w:ascii="Times New Roman" w:hAnsi="Times New Roman" w:cs="Times New Roman"/>
          <w:lang w:val="es-MX"/>
        </w:rPr>
        <w:lastRenderedPageBreak/>
        <w:t>Adicionalmente, en el Acuerdo Gubernativo 03-2021 se identificaron Q2,236.6 millones en asignaciones en previsión, es decir, gasto adicional que podría darse solo si durante el ejercicio fiscal el comportamiento de la recaudación de los ingresos tributarios muestra una mejora significativa o se cuenta con recursos adicionales provenientes de otras fuentes de financiamiento.</w:t>
      </w:r>
      <w:r w:rsidRPr="00F90B8F">
        <w:rPr>
          <w:rFonts w:ascii="Times New Roman" w:hAnsi="Times New Roman" w:cs="Times New Roman"/>
          <w:lang w:val="es-MX"/>
        </w:rPr>
        <w:t xml:space="preserve">  </w:t>
      </w:r>
    </w:p>
    <w:p w14:paraId="54DA5646" w14:textId="77777777" w:rsidR="002F2FB3" w:rsidRDefault="002F2FB3" w:rsidP="00851B66">
      <w:pPr>
        <w:ind w:left="4962"/>
        <w:jc w:val="right"/>
        <w:rPr>
          <w:rFonts w:cs="Times New Roman"/>
          <w:sz w:val="16"/>
          <w:szCs w:val="22"/>
          <w:lang w:val="es-MX"/>
        </w:rPr>
      </w:pPr>
    </w:p>
    <w:p w14:paraId="2A08C5D7" w14:textId="786C128C" w:rsidR="00380981" w:rsidRPr="00AC1506" w:rsidRDefault="00C84436" w:rsidP="00C17472">
      <w:pPr>
        <w:pStyle w:val="Prrafodelista"/>
        <w:numPr>
          <w:ilvl w:val="0"/>
          <w:numId w:val="1"/>
        </w:numPr>
        <w:ind w:left="426" w:hanging="426"/>
        <w:outlineLvl w:val="0"/>
        <w:rPr>
          <w:rFonts w:cs="Times New Roman"/>
          <w:b/>
          <w:sz w:val="24"/>
          <w:lang w:val="es-MX"/>
        </w:rPr>
      </w:pPr>
      <w:bookmarkStart w:id="588" w:name="_Toc83376496"/>
      <w:r w:rsidRPr="00AC1506">
        <w:rPr>
          <w:rFonts w:cs="Times New Roman"/>
          <w:b/>
          <w:sz w:val="24"/>
          <w:lang w:val="es-MX"/>
        </w:rPr>
        <w:t>Resultado Fiscal</w:t>
      </w:r>
      <w:bookmarkEnd w:id="588"/>
      <w:r w:rsidRPr="00AC1506">
        <w:rPr>
          <w:rFonts w:cs="Times New Roman"/>
          <w:b/>
          <w:sz w:val="24"/>
          <w:lang w:val="es-MX"/>
        </w:rPr>
        <w:t xml:space="preserve"> </w:t>
      </w:r>
    </w:p>
    <w:p w14:paraId="5979CB22" w14:textId="577F46B8" w:rsidR="00C84436" w:rsidRPr="00AC1506" w:rsidRDefault="005F5E9E" w:rsidP="00D319A6">
      <w:pPr>
        <w:rPr>
          <w:rFonts w:eastAsiaTheme="majorEastAsia" w:cs="Times New Roman"/>
          <w:b/>
          <w:bCs/>
          <w:sz w:val="24"/>
          <w:szCs w:val="26"/>
        </w:rPr>
      </w:pPr>
      <w:bookmarkStart w:id="589" w:name="_Toc42023982"/>
      <w:bookmarkStart w:id="590" w:name="_Toc42024033"/>
      <w:bookmarkEnd w:id="589"/>
      <w:bookmarkEnd w:id="590"/>
      <w:r w:rsidRPr="00AC1506">
        <w:rPr>
          <w:rFonts w:eastAsiaTheme="majorEastAsia"/>
          <w:noProof/>
          <w:lang w:eastAsia="es-GT"/>
        </w:rPr>
        <w:drawing>
          <wp:inline distT="0" distB="0" distL="0" distR="0" wp14:anchorId="53C2D341" wp14:editId="4CCD8E17">
            <wp:extent cx="5836920" cy="1854200"/>
            <wp:effectExtent l="76200" t="57150" r="87630" b="107950"/>
            <wp:docPr id="27" name="Diagrama 2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5" r:lo="rId46" r:qs="rId47" r:cs="rId48"/>
              </a:graphicData>
            </a:graphic>
          </wp:inline>
        </w:drawing>
      </w:r>
      <w:bookmarkStart w:id="591" w:name="_Toc31624513"/>
      <w:bookmarkStart w:id="592" w:name="_Toc31625365"/>
      <w:bookmarkStart w:id="593" w:name="_Toc31626820"/>
      <w:bookmarkStart w:id="594" w:name="_Toc31811271"/>
      <w:bookmarkStart w:id="595" w:name="_Toc31811725"/>
      <w:bookmarkStart w:id="596" w:name="_Toc31971888"/>
      <w:bookmarkStart w:id="597" w:name="_Toc32230910"/>
      <w:bookmarkStart w:id="598" w:name="_Toc33109798"/>
      <w:bookmarkStart w:id="599" w:name="_Toc33109840"/>
      <w:bookmarkStart w:id="600" w:name="_Toc33180561"/>
      <w:bookmarkStart w:id="601" w:name="_Toc33180655"/>
      <w:bookmarkStart w:id="602" w:name="_Toc33193552"/>
      <w:bookmarkStart w:id="603" w:name="_Toc33193591"/>
      <w:bookmarkStart w:id="604" w:name="_Toc33196788"/>
      <w:bookmarkStart w:id="605" w:name="_Toc40691764"/>
      <w:bookmarkStart w:id="606" w:name="_Toc40959164"/>
      <w:bookmarkStart w:id="607" w:name="_Toc40975998"/>
      <w:bookmarkStart w:id="608" w:name="_Toc40976067"/>
      <w:bookmarkStart w:id="609" w:name="_Toc40993323"/>
      <w:bookmarkStart w:id="610" w:name="_Toc40993705"/>
      <w:bookmarkStart w:id="611" w:name="_Toc41037581"/>
      <w:bookmarkStart w:id="612" w:name="_Toc41254141"/>
      <w:bookmarkStart w:id="613" w:name="_Toc41254173"/>
      <w:bookmarkStart w:id="614" w:name="_Toc41254193"/>
      <w:bookmarkStart w:id="615" w:name="_Toc42023983"/>
      <w:bookmarkStart w:id="616" w:name="_Toc42024034"/>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p>
    <w:p w14:paraId="601FB390" w14:textId="77777777" w:rsidR="00182B79" w:rsidRPr="00AC1506" w:rsidRDefault="00182B79" w:rsidP="00182B79">
      <w:pPr>
        <w:pStyle w:val="Prrafodelista"/>
        <w:keepNext/>
        <w:keepLines/>
        <w:numPr>
          <w:ilvl w:val="0"/>
          <w:numId w:val="43"/>
        </w:numPr>
        <w:spacing w:after="120"/>
        <w:contextualSpacing w:val="0"/>
        <w:outlineLvl w:val="1"/>
        <w:rPr>
          <w:rFonts w:eastAsiaTheme="majorEastAsia" w:cs="Times New Roman"/>
          <w:b/>
          <w:bCs/>
          <w:vanish/>
          <w:sz w:val="24"/>
          <w:szCs w:val="26"/>
          <w:lang w:eastAsia="es-ES"/>
        </w:rPr>
      </w:pPr>
      <w:bookmarkStart w:id="617" w:name="_Toc42069123"/>
      <w:bookmarkStart w:id="618" w:name="_Toc49422069"/>
      <w:bookmarkStart w:id="619" w:name="_Toc49422095"/>
      <w:bookmarkStart w:id="620" w:name="_Toc49430674"/>
      <w:bookmarkStart w:id="621" w:name="_Toc49430700"/>
      <w:bookmarkStart w:id="622" w:name="_Toc49750477"/>
      <w:bookmarkStart w:id="623" w:name="_Toc49750727"/>
      <w:bookmarkStart w:id="624" w:name="_Toc49750755"/>
      <w:bookmarkStart w:id="625" w:name="_Toc55284841"/>
      <w:bookmarkStart w:id="626" w:name="_Toc55298859"/>
      <w:bookmarkStart w:id="627" w:name="_Toc55373842"/>
      <w:bookmarkStart w:id="628" w:name="_Toc55374018"/>
      <w:bookmarkStart w:id="629" w:name="_Toc55375155"/>
      <w:bookmarkStart w:id="630" w:name="_Toc55396563"/>
      <w:bookmarkStart w:id="631" w:name="_Toc65230560"/>
      <w:bookmarkStart w:id="632" w:name="_Toc65230798"/>
      <w:bookmarkStart w:id="633" w:name="_Toc65232082"/>
      <w:bookmarkStart w:id="634" w:name="_Toc65232327"/>
      <w:bookmarkStart w:id="635" w:name="_Toc66716186"/>
      <w:bookmarkStart w:id="636" w:name="_Toc71097230"/>
      <w:bookmarkStart w:id="637" w:name="_Toc71097261"/>
      <w:bookmarkStart w:id="638" w:name="_Toc71097336"/>
      <w:bookmarkStart w:id="639" w:name="_Toc71108076"/>
      <w:bookmarkStart w:id="640" w:name="_Toc79055270"/>
      <w:bookmarkStart w:id="641" w:name="_Toc79055301"/>
      <w:bookmarkStart w:id="642" w:name="_Toc79060192"/>
      <w:bookmarkStart w:id="643" w:name="_Toc79060479"/>
      <w:bookmarkStart w:id="644" w:name="_Toc81307836"/>
      <w:bookmarkStart w:id="645" w:name="_Toc83376497"/>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p>
    <w:p w14:paraId="3072C340" w14:textId="79DC1728" w:rsidR="00364844" w:rsidRPr="00AC1506" w:rsidRDefault="00BD6585" w:rsidP="00D11ADD">
      <w:pPr>
        <w:pStyle w:val="Ttulo2"/>
        <w:numPr>
          <w:ilvl w:val="1"/>
          <w:numId w:val="43"/>
        </w:numPr>
        <w:tabs>
          <w:tab w:val="left" w:pos="426"/>
        </w:tabs>
        <w:spacing w:before="0"/>
        <w:ind w:left="284" w:hanging="284"/>
        <w:rPr>
          <w:rFonts w:ascii="Times New Roman" w:hAnsi="Times New Roman" w:cs="Times New Roman"/>
          <w:color w:val="auto"/>
          <w:sz w:val="24"/>
        </w:rPr>
      </w:pPr>
      <w:bookmarkStart w:id="646" w:name="_Toc83376498"/>
      <w:r w:rsidRPr="00AC1506">
        <w:rPr>
          <w:rFonts w:ascii="Times New Roman" w:hAnsi="Times New Roman" w:cs="Times New Roman"/>
          <w:color w:val="auto"/>
          <w:sz w:val="24"/>
        </w:rPr>
        <w:t>R</w:t>
      </w:r>
      <w:r w:rsidR="00540B30" w:rsidRPr="00AC1506">
        <w:rPr>
          <w:rFonts w:ascii="Times New Roman" w:hAnsi="Times New Roman" w:cs="Times New Roman"/>
          <w:color w:val="auto"/>
          <w:sz w:val="24"/>
        </w:rPr>
        <w:t xml:space="preserve">esultado </w:t>
      </w:r>
      <w:r w:rsidR="003C3E6F" w:rsidRPr="00AC1506">
        <w:rPr>
          <w:rFonts w:ascii="Times New Roman" w:hAnsi="Times New Roman" w:cs="Times New Roman"/>
          <w:color w:val="auto"/>
          <w:sz w:val="24"/>
        </w:rPr>
        <w:t>O</w:t>
      </w:r>
      <w:r w:rsidR="00540B30" w:rsidRPr="00AC1506">
        <w:rPr>
          <w:rFonts w:ascii="Times New Roman" w:hAnsi="Times New Roman" w:cs="Times New Roman"/>
          <w:color w:val="auto"/>
          <w:sz w:val="24"/>
        </w:rPr>
        <w:t>perativo</w:t>
      </w:r>
      <w:r w:rsidR="00EE52DF" w:rsidRPr="00AC1506">
        <w:rPr>
          <w:rFonts w:ascii="Times New Roman" w:hAnsi="Times New Roman" w:cs="Times New Roman"/>
          <w:color w:val="auto"/>
          <w:sz w:val="24"/>
        </w:rPr>
        <w:t xml:space="preserve"> </w:t>
      </w:r>
      <w:bookmarkEnd w:id="380"/>
      <w:r w:rsidR="005454E8">
        <w:rPr>
          <w:rFonts w:ascii="Times New Roman" w:hAnsi="Times New Roman" w:cs="Times New Roman"/>
          <w:color w:val="auto"/>
          <w:sz w:val="24"/>
        </w:rPr>
        <w:t>Negativo</w:t>
      </w:r>
      <w:bookmarkEnd w:id="646"/>
    </w:p>
    <w:p w14:paraId="45ECB868" w14:textId="0A446E54" w:rsidR="00A346C2" w:rsidRDefault="00923488" w:rsidP="0045490A">
      <w:pPr>
        <w:pStyle w:val="Sinespaciado"/>
        <w:jc w:val="both"/>
        <w:rPr>
          <w:rFonts w:ascii="Times New Roman" w:hAnsi="Times New Roman" w:cs="Times New Roman"/>
        </w:rPr>
      </w:pPr>
      <w:r>
        <w:rPr>
          <w:rFonts w:ascii="Times New Roman" w:hAnsi="Times New Roman" w:cs="Times New Roman"/>
        </w:rPr>
        <w:t xml:space="preserve">Al </w:t>
      </w:r>
      <w:r w:rsidR="000E6989">
        <w:rPr>
          <w:rFonts w:ascii="Times New Roman" w:hAnsi="Times New Roman" w:cs="Times New Roman"/>
        </w:rPr>
        <w:t xml:space="preserve">finalizar </w:t>
      </w:r>
      <w:r w:rsidR="0098483B">
        <w:rPr>
          <w:rFonts w:ascii="Times New Roman" w:hAnsi="Times New Roman" w:cs="Times New Roman"/>
        </w:rPr>
        <w:t>junio, se</w:t>
      </w:r>
      <w:r>
        <w:rPr>
          <w:rFonts w:ascii="Times New Roman" w:hAnsi="Times New Roman" w:cs="Times New Roman"/>
        </w:rPr>
        <w:t xml:space="preserve"> </w:t>
      </w:r>
      <w:r w:rsidR="007840C8">
        <w:rPr>
          <w:rFonts w:ascii="Times New Roman" w:hAnsi="Times New Roman" w:cs="Times New Roman"/>
        </w:rPr>
        <w:t>observa un</w:t>
      </w:r>
      <w:r w:rsidR="00E67AA2">
        <w:rPr>
          <w:rFonts w:ascii="Times New Roman" w:hAnsi="Times New Roman" w:cs="Times New Roman"/>
        </w:rPr>
        <w:t xml:space="preserve"> r</w:t>
      </w:r>
      <w:r w:rsidR="007840C8">
        <w:rPr>
          <w:rFonts w:ascii="Times New Roman" w:hAnsi="Times New Roman" w:cs="Times New Roman"/>
        </w:rPr>
        <w:t xml:space="preserve">esultado </w:t>
      </w:r>
      <w:r w:rsidR="00E67AA2">
        <w:rPr>
          <w:rFonts w:ascii="Times New Roman" w:hAnsi="Times New Roman" w:cs="Times New Roman"/>
        </w:rPr>
        <w:t>o</w:t>
      </w:r>
      <w:r w:rsidR="007840C8">
        <w:rPr>
          <w:rFonts w:ascii="Times New Roman" w:hAnsi="Times New Roman" w:cs="Times New Roman"/>
        </w:rPr>
        <w:t xml:space="preserve">perativo </w:t>
      </w:r>
      <w:r w:rsidR="0079513D">
        <w:rPr>
          <w:rFonts w:ascii="Times New Roman" w:hAnsi="Times New Roman" w:cs="Times New Roman"/>
        </w:rPr>
        <w:t>negativo</w:t>
      </w:r>
      <w:r w:rsidR="00053AD6" w:rsidRPr="00AC1506">
        <w:rPr>
          <w:rFonts w:ascii="Times New Roman" w:hAnsi="Times New Roman" w:cs="Times New Roman"/>
        </w:rPr>
        <w:t xml:space="preserve"> </w:t>
      </w:r>
      <w:r w:rsidR="00A87FAA">
        <w:rPr>
          <w:rFonts w:ascii="Times New Roman" w:hAnsi="Times New Roman" w:cs="Times New Roman"/>
        </w:rPr>
        <w:t xml:space="preserve">por </w:t>
      </w:r>
      <w:r w:rsidR="007D07F3" w:rsidRPr="00AC1506">
        <w:rPr>
          <w:rFonts w:ascii="Times New Roman" w:hAnsi="Times New Roman" w:cs="Times New Roman"/>
        </w:rPr>
        <w:t>Q</w:t>
      </w:r>
      <w:r w:rsidR="00884ED0">
        <w:rPr>
          <w:rFonts w:ascii="Times New Roman" w:hAnsi="Times New Roman" w:cs="Times New Roman"/>
        </w:rPr>
        <w:t>4</w:t>
      </w:r>
      <w:r w:rsidR="00427475">
        <w:rPr>
          <w:rFonts w:ascii="Times New Roman" w:hAnsi="Times New Roman" w:cs="Times New Roman"/>
        </w:rPr>
        <w:t>11</w:t>
      </w:r>
      <w:r w:rsidR="00923E0C">
        <w:rPr>
          <w:rFonts w:ascii="Times New Roman" w:hAnsi="Times New Roman" w:cs="Times New Roman"/>
        </w:rPr>
        <w:t>.</w:t>
      </w:r>
      <w:r w:rsidR="00427475">
        <w:rPr>
          <w:rFonts w:ascii="Times New Roman" w:hAnsi="Times New Roman" w:cs="Times New Roman"/>
        </w:rPr>
        <w:t>3</w:t>
      </w:r>
      <w:r w:rsidR="00867E22">
        <w:rPr>
          <w:rFonts w:ascii="Times New Roman" w:hAnsi="Times New Roman" w:cs="Times New Roman"/>
        </w:rPr>
        <w:t xml:space="preserve"> millones</w:t>
      </w:r>
      <w:r w:rsidR="00F76669">
        <w:rPr>
          <w:rFonts w:ascii="Times New Roman" w:hAnsi="Times New Roman" w:cs="Times New Roman"/>
        </w:rPr>
        <w:t xml:space="preserve"> el cual </w:t>
      </w:r>
      <w:r w:rsidR="00923E0C">
        <w:rPr>
          <w:rFonts w:ascii="Times New Roman" w:hAnsi="Times New Roman" w:cs="Times New Roman"/>
        </w:rPr>
        <w:t xml:space="preserve">cabe mencionar es </w:t>
      </w:r>
      <w:r w:rsidR="00912B3F">
        <w:rPr>
          <w:rFonts w:ascii="Times New Roman" w:hAnsi="Times New Roman" w:cs="Times New Roman"/>
        </w:rPr>
        <w:t xml:space="preserve">una </w:t>
      </w:r>
      <w:r w:rsidR="008A2EC4">
        <w:rPr>
          <w:rFonts w:ascii="Times New Roman" w:hAnsi="Times New Roman" w:cs="Times New Roman"/>
        </w:rPr>
        <w:t>situación con un</w:t>
      </w:r>
      <w:r w:rsidR="00635980">
        <w:rPr>
          <w:rFonts w:ascii="Times New Roman" w:hAnsi="Times New Roman" w:cs="Times New Roman"/>
        </w:rPr>
        <w:t xml:space="preserve"> menor deterioro </w:t>
      </w:r>
      <w:r w:rsidR="00D7122E">
        <w:rPr>
          <w:rFonts w:ascii="Times New Roman" w:hAnsi="Times New Roman" w:cs="Times New Roman"/>
        </w:rPr>
        <w:t xml:space="preserve">en </w:t>
      </w:r>
      <w:r w:rsidR="00635980">
        <w:rPr>
          <w:rFonts w:ascii="Times New Roman" w:hAnsi="Times New Roman" w:cs="Times New Roman"/>
        </w:rPr>
        <w:t xml:space="preserve">el patrimonio </w:t>
      </w:r>
      <w:r w:rsidR="00045CD6">
        <w:rPr>
          <w:rFonts w:ascii="Times New Roman" w:hAnsi="Times New Roman" w:cs="Times New Roman"/>
        </w:rPr>
        <w:t>neto</w:t>
      </w:r>
      <w:r w:rsidR="008A2EC4">
        <w:rPr>
          <w:rFonts w:ascii="Times New Roman" w:hAnsi="Times New Roman" w:cs="Times New Roman"/>
        </w:rPr>
        <w:t xml:space="preserve"> </w:t>
      </w:r>
      <w:r w:rsidR="003602DE">
        <w:rPr>
          <w:rFonts w:ascii="Times New Roman" w:hAnsi="Times New Roman" w:cs="Times New Roman"/>
        </w:rPr>
        <w:t>a</w:t>
      </w:r>
      <w:r w:rsidR="00C06546">
        <w:rPr>
          <w:rFonts w:ascii="Times New Roman" w:hAnsi="Times New Roman" w:cs="Times New Roman"/>
        </w:rPr>
        <w:t xml:space="preserve"> </w:t>
      </w:r>
      <w:r w:rsidR="00CC2BDD">
        <w:rPr>
          <w:rFonts w:ascii="Times New Roman" w:hAnsi="Times New Roman" w:cs="Times New Roman"/>
        </w:rPr>
        <w:t>l</w:t>
      </w:r>
      <w:r w:rsidR="00C06546">
        <w:rPr>
          <w:rFonts w:ascii="Times New Roman" w:hAnsi="Times New Roman" w:cs="Times New Roman"/>
        </w:rPr>
        <w:t>o</w:t>
      </w:r>
      <w:r w:rsidR="00CC2BDD">
        <w:rPr>
          <w:rFonts w:ascii="Times New Roman" w:hAnsi="Times New Roman" w:cs="Times New Roman"/>
        </w:rPr>
        <w:t xml:space="preserve"> observado</w:t>
      </w:r>
      <w:r w:rsidR="003602DE">
        <w:rPr>
          <w:rFonts w:ascii="Times New Roman" w:hAnsi="Times New Roman" w:cs="Times New Roman"/>
        </w:rPr>
        <w:t xml:space="preserve"> al mismo periodo</w:t>
      </w:r>
      <w:r w:rsidR="00A718B4">
        <w:rPr>
          <w:rFonts w:ascii="Times New Roman" w:hAnsi="Times New Roman" w:cs="Times New Roman"/>
        </w:rPr>
        <w:t xml:space="preserve"> en</w:t>
      </w:r>
      <w:r w:rsidR="00CC2BDD">
        <w:rPr>
          <w:rFonts w:ascii="Times New Roman" w:hAnsi="Times New Roman" w:cs="Times New Roman"/>
        </w:rPr>
        <w:t xml:space="preserve"> el año anterior</w:t>
      </w:r>
      <w:r w:rsidR="00A718B4">
        <w:rPr>
          <w:rFonts w:ascii="Times New Roman" w:hAnsi="Times New Roman" w:cs="Times New Roman"/>
        </w:rPr>
        <w:t xml:space="preserve">, cuando </w:t>
      </w:r>
      <w:r w:rsidR="00045CD6">
        <w:rPr>
          <w:rFonts w:ascii="Times New Roman" w:hAnsi="Times New Roman" w:cs="Times New Roman"/>
        </w:rPr>
        <w:t xml:space="preserve">se observó </w:t>
      </w:r>
      <w:r w:rsidR="00E12201">
        <w:rPr>
          <w:rFonts w:ascii="Times New Roman" w:hAnsi="Times New Roman" w:cs="Times New Roman"/>
        </w:rPr>
        <w:t>un valor negativo de Q</w:t>
      </w:r>
      <w:r w:rsidR="002939FA">
        <w:rPr>
          <w:rFonts w:ascii="Times New Roman" w:hAnsi="Times New Roman" w:cs="Times New Roman"/>
        </w:rPr>
        <w:t>6,568.2 millones</w:t>
      </w:r>
      <w:r w:rsidR="001A20FB">
        <w:rPr>
          <w:rFonts w:ascii="Times New Roman" w:hAnsi="Times New Roman" w:cs="Times New Roman"/>
        </w:rPr>
        <w:t xml:space="preserve">. </w:t>
      </w:r>
      <w:r w:rsidR="00A718B4">
        <w:rPr>
          <w:rFonts w:ascii="Times New Roman" w:hAnsi="Times New Roman" w:cs="Times New Roman"/>
        </w:rPr>
        <w:t>En buena medida</w:t>
      </w:r>
      <w:r w:rsidR="003A19AB">
        <w:rPr>
          <w:rFonts w:ascii="Times New Roman" w:hAnsi="Times New Roman" w:cs="Times New Roman"/>
        </w:rPr>
        <w:t>,</w:t>
      </w:r>
      <w:r w:rsidR="00A718B4">
        <w:rPr>
          <w:rFonts w:ascii="Times New Roman" w:hAnsi="Times New Roman" w:cs="Times New Roman"/>
        </w:rPr>
        <w:t xml:space="preserve"> </w:t>
      </w:r>
      <w:r w:rsidR="005E43A8">
        <w:rPr>
          <w:rFonts w:ascii="Times New Roman" w:hAnsi="Times New Roman" w:cs="Times New Roman"/>
        </w:rPr>
        <w:t>esta diferencia</w:t>
      </w:r>
      <w:r w:rsidR="00912B3F">
        <w:rPr>
          <w:rFonts w:ascii="Times New Roman" w:hAnsi="Times New Roman" w:cs="Times New Roman"/>
        </w:rPr>
        <w:t xml:space="preserve"> en el resultado operativo </w:t>
      </w:r>
      <w:r w:rsidR="0092228F">
        <w:rPr>
          <w:rFonts w:ascii="Times New Roman" w:hAnsi="Times New Roman" w:cs="Times New Roman"/>
        </w:rPr>
        <w:t xml:space="preserve">es </w:t>
      </w:r>
      <w:r w:rsidR="002F4F4A">
        <w:rPr>
          <w:rFonts w:ascii="Times New Roman" w:hAnsi="Times New Roman" w:cs="Times New Roman"/>
        </w:rPr>
        <w:t xml:space="preserve">derivado a </w:t>
      </w:r>
      <w:r w:rsidR="003C4117">
        <w:rPr>
          <w:rFonts w:ascii="Times New Roman" w:hAnsi="Times New Roman" w:cs="Times New Roman"/>
        </w:rPr>
        <w:t xml:space="preserve">la </w:t>
      </w:r>
      <w:r w:rsidR="00F62BA2">
        <w:rPr>
          <w:rFonts w:ascii="Times New Roman" w:hAnsi="Times New Roman" w:cs="Times New Roman"/>
        </w:rPr>
        <w:t xml:space="preserve">mejora </w:t>
      </w:r>
      <w:r w:rsidR="00116127">
        <w:rPr>
          <w:rFonts w:ascii="Times New Roman" w:hAnsi="Times New Roman" w:cs="Times New Roman"/>
        </w:rPr>
        <w:t>en los ingresos</w:t>
      </w:r>
      <w:r w:rsidR="00B75DDB">
        <w:rPr>
          <w:rFonts w:ascii="Times New Roman" w:hAnsi="Times New Roman" w:cs="Times New Roman"/>
        </w:rPr>
        <w:t xml:space="preserve"> </w:t>
      </w:r>
      <w:r w:rsidR="007651E9">
        <w:rPr>
          <w:rFonts w:ascii="Times New Roman" w:hAnsi="Times New Roman" w:cs="Times New Roman"/>
        </w:rPr>
        <w:t>totales,</w:t>
      </w:r>
      <w:r w:rsidR="00ED44B9">
        <w:rPr>
          <w:rFonts w:ascii="Times New Roman" w:hAnsi="Times New Roman" w:cs="Times New Roman"/>
        </w:rPr>
        <w:t xml:space="preserve"> </w:t>
      </w:r>
      <w:r w:rsidR="00ED44B9">
        <w:t>así como un gasto público dinámico pero moderado en comparación al observado a lo largo del 2020</w:t>
      </w:r>
      <w:r w:rsidR="00ED44B9">
        <w:rPr>
          <w:rFonts w:ascii="Times New Roman" w:hAnsi="Times New Roman" w:cs="Times New Roman"/>
        </w:rPr>
        <w:t xml:space="preserve">. </w:t>
      </w:r>
    </w:p>
    <w:p w14:paraId="359215D6" w14:textId="77777777" w:rsidR="00ED44B9" w:rsidRDefault="00ED44B9" w:rsidP="0045490A">
      <w:pPr>
        <w:pStyle w:val="Sinespaciado"/>
        <w:jc w:val="both"/>
        <w:rPr>
          <w:rFonts w:ascii="Times New Roman" w:hAnsi="Times New Roman" w:cs="Times New Roman"/>
        </w:rPr>
      </w:pPr>
    </w:p>
    <w:p w14:paraId="4FB717FF" w14:textId="608F8A29" w:rsidR="004B5293" w:rsidRPr="00AC1506" w:rsidRDefault="007F30B6" w:rsidP="0045490A">
      <w:pPr>
        <w:pStyle w:val="Sinespaciado"/>
        <w:jc w:val="both"/>
        <w:rPr>
          <w:rFonts w:ascii="Times New Roman" w:hAnsi="Times New Roman" w:cs="Times New Roman"/>
        </w:rPr>
      </w:pPr>
      <w:r w:rsidRPr="00AC1506">
        <w:rPr>
          <w:rFonts w:ascii="Times New Roman" w:hAnsi="Times New Roman" w:cs="Times New Roman"/>
        </w:rPr>
        <w:t>Por su parte, el resultado operativo primario</w:t>
      </w:r>
      <w:r w:rsidR="00C76397" w:rsidRPr="00AC1506">
        <w:rPr>
          <w:rFonts w:ascii="Times New Roman" w:hAnsi="Times New Roman" w:cs="Times New Roman"/>
        </w:rPr>
        <w:t xml:space="preserve"> (</w:t>
      </w:r>
      <w:r w:rsidR="00343934" w:rsidRPr="00AC1506">
        <w:rPr>
          <w:rFonts w:ascii="Times New Roman" w:hAnsi="Times New Roman" w:cs="Times New Roman"/>
        </w:rPr>
        <w:t>sin considerar el pago de intereses de la deuda pública</w:t>
      </w:r>
      <w:r w:rsidR="00385368" w:rsidRPr="00AC1506">
        <w:rPr>
          <w:rFonts w:ascii="Times New Roman" w:hAnsi="Times New Roman" w:cs="Times New Roman"/>
        </w:rPr>
        <w:t>)</w:t>
      </w:r>
      <w:r w:rsidRPr="00AC1506">
        <w:rPr>
          <w:rFonts w:ascii="Times New Roman" w:hAnsi="Times New Roman" w:cs="Times New Roman"/>
        </w:rPr>
        <w:t xml:space="preserve"> </w:t>
      </w:r>
      <w:r w:rsidR="00C76397" w:rsidRPr="00AC1506">
        <w:rPr>
          <w:rFonts w:ascii="Times New Roman" w:hAnsi="Times New Roman" w:cs="Times New Roman"/>
        </w:rPr>
        <w:t xml:space="preserve">fue </w:t>
      </w:r>
      <w:r w:rsidR="004777C0">
        <w:rPr>
          <w:rFonts w:ascii="Times New Roman" w:hAnsi="Times New Roman" w:cs="Times New Roman"/>
        </w:rPr>
        <w:t>positivo</w:t>
      </w:r>
      <w:r w:rsidR="00C76397" w:rsidRPr="00AC1506">
        <w:rPr>
          <w:rFonts w:ascii="Times New Roman" w:hAnsi="Times New Roman" w:cs="Times New Roman"/>
        </w:rPr>
        <w:t xml:space="preserve"> por Q</w:t>
      </w:r>
      <w:r w:rsidR="006408FB">
        <w:rPr>
          <w:rFonts w:ascii="Times New Roman" w:hAnsi="Times New Roman" w:cs="Times New Roman"/>
        </w:rPr>
        <w:t>5</w:t>
      </w:r>
      <w:r w:rsidR="00C76397" w:rsidRPr="00AC1506">
        <w:rPr>
          <w:rFonts w:ascii="Times New Roman" w:hAnsi="Times New Roman" w:cs="Times New Roman"/>
        </w:rPr>
        <w:t>,</w:t>
      </w:r>
      <w:r w:rsidR="006408FB">
        <w:rPr>
          <w:rFonts w:ascii="Times New Roman" w:hAnsi="Times New Roman" w:cs="Times New Roman"/>
        </w:rPr>
        <w:t>0</w:t>
      </w:r>
      <w:r w:rsidR="005D66ED">
        <w:rPr>
          <w:rFonts w:ascii="Times New Roman" w:hAnsi="Times New Roman" w:cs="Times New Roman"/>
        </w:rPr>
        <w:t>93</w:t>
      </w:r>
      <w:r w:rsidR="004777C0">
        <w:rPr>
          <w:rFonts w:ascii="Times New Roman" w:hAnsi="Times New Roman" w:cs="Times New Roman"/>
        </w:rPr>
        <w:t>.</w:t>
      </w:r>
      <w:r w:rsidR="005D66ED">
        <w:rPr>
          <w:rFonts w:ascii="Times New Roman" w:hAnsi="Times New Roman" w:cs="Times New Roman"/>
        </w:rPr>
        <w:t>4</w:t>
      </w:r>
      <w:r w:rsidR="00C76397" w:rsidRPr="00AC1506">
        <w:rPr>
          <w:rFonts w:ascii="Times New Roman" w:hAnsi="Times New Roman" w:cs="Times New Roman"/>
        </w:rPr>
        <w:t xml:space="preserve"> millones</w:t>
      </w:r>
      <w:r w:rsidR="000F41CA" w:rsidRPr="00AC1506">
        <w:rPr>
          <w:rFonts w:ascii="Times New Roman" w:hAnsi="Times New Roman" w:cs="Times New Roman"/>
        </w:rPr>
        <w:t xml:space="preserve">, mientras </w:t>
      </w:r>
      <w:r w:rsidR="00CC6EE7">
        <w:rPr>
          <w:rFonts w:ascii="Times New Roman" w:hAnsi="Times New Roman" w:cs="Times New Roman"/>
        </w:rPr>
        <w:t xml:space="preserve">que, </w:t>
      </w:r>
      <w:r w:rsidR="00DC6CFF">
        <w:rPr>
          <w:rFonts w:ascii="Times New Roman" w:hAnsi="Times New Roman" w:cs="Times New Roman"/>
        </w:rPr>
        <w:t>en el año previo</w:t>
      </w:r>
      <w:r w:rsidR="00250FD6">
        <w:rPr>
          <w:rFonts w:ascii="Times New Roman" w:hAnsi="Times New Roman" w:cs="Times New Roman"/>
        </w:rPr>
        <w:t>,</w:t>
      </w:r>
      <w:r w:rsidR="00DC6CFF">
        <w:rPr>
          <w:rFonts w:ascii="Times New Roman" w:hAnsi="Times New Roman" w:cs="Times New Roman"/>
        </w:rPr>
        <w:t xml:space="preserve"> este había sido </w:t>
      </w:r>
      <w:r w:rsidR="00454D9F">
        <w:rPr>
          <w:rFonts w:ascii="Times New Roman" w:hAnsi="Times New Roman" w:cs="Times New Roman"/>
        </w:rPr>
        <w:t xml:space="preserve">negativo por </w:t>
      </w:r>
      <w:r w:rsidR="00DA7F3A" w:rsidRPr="00AC1506">
        <w:rPr>
          <w:rFonts w:ascii="Times New Roman" w:hAnsi="Times New Roman" w:cs="Times New Roman"/>
        </w:rPr>
        <w:t>Q</w:t>
      </w:r>
      <w:r w:rsidR="00454D9F">
        <w:rPr>
          <w:rFonts w:ascii="Times New Roman" w:hAnsi="Times New Roman" w:cs="Times New Roman"/>
        </w:rPr>
        <w:t>1,</w:t>
      </w:r>
      <w:r w:rsidR="005D66ED">
        <w:rPr>
          <w:rFonts w:ascii="Times New Roman" w:hAnsi="Times New Roman" w:cs="Times New Roman"/>
        </w:rPr>
        <w:t>815</w:t>
      </w:r>
      <w:r w:rsidR="00454D9F">
        <w:rPr>
          <w:rFonts w:ascii="Times New Roman" w:hAnsi="Times New Roman" w:cs="Times New Roman"/>
        </w:rPr>
        <w:t>.4</w:t>
      </w:r>
      <w:r w:rsidR="004D3EA8" w:rsidRPr="00AC1506">
        <w:rPr>
          <w:rFonts w:ascii="Times New Roman" w:hAnsi="Times New Roman" w:cs="Times New Roman"/>
        </w:rPr>
        <w:t xml:space="preserve"> </w:t>
      </w:r>
      <w:r w:rsidR="00CC6EE7">
        <w:rPr>
          <w:rFonts w:ascii="Times New Roman" w:hAnsi="Times New Roman" w:cs="Times New Roman"/>
        </w:rPr>
        <w:t>m</w:t>
      </w:r>
      <w:r w:rsidR="004D3EA8" w:rsidRPr="00AC1506">
        <w:rPr>
          <w:rFonts w:ascii="Times New Roman" w:hAnsi="Times New Roman" w:cs="Times New Roman"/>
        </w:rPr>
        <w:t>illones.</w:t>
      </w:r>
    </w:p>
    <w:p w14:paraId="5A96EBFC" w14:textId="35939DC9" w:rsidR="004B5293" w:rsidRPr="00AC1506" w:rsidRDefault="004B5293" w:rsidP="00EE52DF">
      <w:pPr>
        <w:pStyle w:val="Sinespaciado"/>
        <w:jc w:val="both"/>
        <w:rPr>
          <w:rFonts w:ascii="Times New Roman" w:hAnsi="Times New Roman" w:cs="Times New Roman"/>
        </w:rPr>
      </w:pPr>
    </w:p>
    <w:p w14:paraId="05EB2ED1" w14:textId="68F84324" w:rsidR="00374C59" w:rsidRPr="00AC1506" w:rsidRDefault="00414C97" w:rsidP="00D11ADD">
      <w:pPr>
        <w:pStyle w:val="Ttulo2"/>
        <w:numPr>
          <w:ilvl w:val="1"/>
          <w:numId w:val="43"/>
        </w:numPr>
        <w:tabs>
          <w:tab w:val="left" w:pos="426"/>
        </w:tabs>
        <w:spacing w:before="0"/>
        <w:ind w:left="284" w:hanging="284"/>
        <w:rPr>
          <w:rFonts w:ascii="Times New Roman" w:hAnsi="Times New Roman" w:cs="Times New Roman"/>
          <w:color w:val="auto"/>
          <w:sz w:val="24"/>
        </w:rPr>
      </w:pPr>
      <w:bookmarkStart w:id="647" w:name="_Toc83376499"/>
      <w:r w:rsidRPr="00AC1506">
        <w:rPr>
          <w:rFonts w:ascii="Times New Roman" w:hAnsi="Times New Roman" w:cs="Times New Roman"/>
          <w:color w:val="auto"/>
          <w:sz w:val="24"/>
        </w:rPr>
        <w:t xml:space="preserve">Endeudamiento </w:t>
      </w:r>
      <w:r w:rsidR="00710C6F" w:rsidRPr="00AC1506">
        <w:rPr>
          <w:rFonts w:ascii="Times New Roman" w:hAnsi="Times New Roman" w:cs="Times New Roman"/>
          <w:color w:val="auto"/>
          <w:sz w:val="24"/>
        </w:rPr>
        <w:t>(</w:t>
      </w:r>
      <w:r w:rsidRPr="00AC1506">
        <w:rPr>
          <w:rFonts w:ascii="Times New Roman" w:hAnsi="Times New Roman" w:cs="Times New Roman"/>
          <w:color w:val="auto"/>
          <w:sz w:val="24"/>
        </w:rPr>
        <w:t>Déficit fiscal)</w:t>
      </w:r>
      <w:r w:rsidR="00BE56C3">
        <w:rPr>
          <w:rFonts w:ascii="Times New Roman" w:hAnsi="Times New Roman" w:cs="Times New Roman"/>
          <w:color w:val="auto"/>
          <w:sz w:val="24"/>
        </w:rPr>
        <w:t xml:space="preserve"> moderado</w:t>
      </w:r>
      <w:bookmarkEnd w:id="647"/>
    </w:p>
    <w:p w14:paraId="5BA8F087" w14:textId="518CEAAD" w:rsidR="00FC2D03" w:rsidRDefault="00021FD5" w:rsidP="00220281">
      <w:pPr>
        <w:pStyle w:val="Sinespaciado"/>
        <w:jc w:val="both"/>
        <w:rPr>
          <w:rFonts w:ascii="Times New Roman" w:hAnsi="Times New Roman" w:cs="Times New Roman"/>
        </w:rPr>
      </w:pPr>
      <w:r>
        <w:rPr>
          <w:rFonts w:ascii="Times New Roman" w:hAnsi="Times New Roman" w:cs="Times New Roman"/>
        </w:rPr>
        <w:t xml:space="preserve">Al cierre del </w:t>
      </w:r>
      <w:r w:rsidR="00BA0F9B">
        <w:rPr>
          <w:rFonts w:ascii="Times New Roman" w:hAnsi="Times New Roman" w:cs="Times New Roman"/>
        </w:rPr>
        <w:t>segundo</w:t>
      </w:r>
      <w:r>
        <w:rPr>
          <w:rFonts w:ascii="Times New Roman" w:hAnsi="Times New Roman" w:cs="Times New Roman"/>
        </w:rPr>
        <w:t xml:space="preserve"> trimestre</w:t>
      </w:r>
      <w:r w:rsidR="008F7BC4">
        <w:rPr>
          <w:rFonts w:ascii="Times New Roman" w:hAnsi="Times New Roman" w:cs="Times New Roman"/>
        </w:rPr>
        <w:t xml:space="preserve"> 2021</w:t>
      </w:r>
      <w:r w:rsidR="00FC4E7D">
        <w:rPr>
          <w:rFonts w:ascii="Times New Roman" w:hAnsi="Times New Roman" w:cs="Times New Roman"/>
        </w:rPr>
        <w:t>,</w:t>
      </w:r>
      <w:r w:rsidR="00E1077E">
        <w:rPr>
          <w:rFonts w:ascii="Times New Roman" w:hAnsi="Times New Roman" w:cs="Times New Roman"/>
        </w:rPr>
        <w:t xml:space="preserve"> se observa un</w:t>
      </w:r>
      <w:r w:rsidR="006F5782" w:rsidRPr="00AC1506">
        <w:rPr>
          <w:rFonts w:ascii="Times New Roman" w:hAnsi="Times New Roman" w:cs="Times New Roman"/>
        </w:rPr>
        <w:t xml:space="preserve"> </w:t>
      </w:r>
      <w:r w:rsidR="00435F33">
        <w:rPr>
          <w:rFonts w:ascii="Times New Roman" w:hAnsi="Times New Roman" w:cs="Times New Roman"/>
        </w:rPr>
        <w:t>endeudamiento</w:t>
      </w:r>
      <w:r w:rsidR="00D66DC3">
        <w:rPr>
          <w:rFonts w:ascii="Times New Roman" w:hAnsi="Times New Roman" w:cs="Times New Roman"/>
        </w:rPr>
        <w:t xml:space="preserve"> </w:t>
      </w:r>
      <w:r w:rsidR="006F5782" w:rsidRPr="00AC1506">
        <w:rPr>
          <w:rFonts w:ascii="Times New Roman" w:hAnsi="Times New Roman" w:cs="Times New Roman"/>
        </w:rPr>
        <w:t>(</w:t>
      </w:r>
      <w:r w:rsidR="00435F33">
        <w:rPr>
          <w:rFonts w:ascii="Times New Roman" w:hAnsi="Times New Roman" w:cs="Times New Roman"/>
        </w:rPr>
        <w:t>déficit</w:t>
      </w:r>
      <w:r w:rsidR="003E49B2">
        <w:rPr>
          <w:rFonts w:ascii="Times New Roman" w:hAnsi="Times New Roman" w:cs="Times New Roman"/>
        </w:rPr>
        <w:t xml:space="preserve"> fiscal</w:t>
      </w:r>
      <w:r w:rsidR="006F5782" w:rsidRPr="00AC1506">
        <w:rPr>
          <w:rFonts w:ascii="Times New Roman" w:hAnsi="Times New Roman" w:cs="Times New Roman"/>
        </w:rPr>
        <w:t>)</w:t>
      </w:r>
      <w:r w:rsidR="00253CD8">
        <w:rPr>
          <w:rFonts w:ascii="Times New Roman" w:hAnsi="Times New Roman" w:cs="Times New Roman"/>
        </w:rPr>
        <w:t xml:space="preserve"> </w:t>
      </w:r>
      <w:r w:rsidR="00435F33">
        <w:rPr>
          <w:rFonts w:ascii="Times New Roman" w:hAnsi="Times New Roman" w:cs="Times New Roman"/>
        </w:rPr>
        <w:t>en</w:t>
      </w:r>
      <w:r w:rsidR="00253CD8">
        <w:rPr>
          <w:rFonts w:ascii="Times New Roman" w:hAnsi="Times New Roman" w:cs="Times New Roman"/>
        </w:rPr>
        <w:t xml:space="preserve"> Gobierno Central Presupuestario </w:t>
      </w:r>
      <w:r w:rsidR="00435F33">
        <w:rPr>
          <w:rFonts w:ascii="Times New Roman" w:hAnsi="Times New Roman" w:cs="Times New Roman"/>
        </w:rPr>
        <w:t xml:space="preserve">por </w:t>
      </w:r>
      <w:r w:rsidR="006F5782" w:rsidRPr="00AC1506">
        <w:rPr>
          <w:rFonts w:ascii="Times New Roman" w:hAnsi="Times New Roman" w:cs="Times New Roman"/>
        </w:rPr>
        <w:t>Q</w:t>
      </w:r>
      <w:r w:rsidR="00240BCF">
        <w:rPr>
          <w:rFonts w:ascii="Times New Roman" w:hAnsi="Times New Roman" w:cs="Times New Roman"/>
        </w:rPr>
        <w:t>1</w:t>
      </w:r>
      <w:r w:rsidR="00B70774" w:rsidRPr="00AC1506">
        <w:rPr>
          <w:rFonts w:ascii="Times New Roman" w:hAnsi="Times New Roman" w:cs="Times New Roman"/>
        </w:rPr>
        <w:t>,</w:t>
      </w:r>
      <w:r w:rsidR="00240BCF">
        <w:rPr>
          <w:rFonts w:ascii="Times New Roman" w:hAnsi="Times New Roman" w:cs="Times New Roman"/>
        </w:rPr>
        <w:t>8</w:t>
      </w:r>
      <w:r w:rsidR="00DF6D3E">
        <w:rPr>
          <w:rFonts w:ascii="Times New Roman" w:hAnsi="Times New Roman" w:cs="Times New Roman"/>
        </w:rPr>
        <w:t>42</w:t>
      </w:r>
      <w:r w:rsidR="00B70774" w:rsidRPr="00AC1506">
        <w:rPr>
          <w:rFonts w:ascii="Times New Roman" w:hAnsi="Times New Roman" w:cs="Times New Roman"/>
        </w:rPr>
        <w:t>.</w:t>
      </w:r>
      <w:r w:rsidR="00DF6D3E">
        <w:rPr>
          <w:rFonts w:ascii="Times New Roman" w:hAnsi="Times New Roman" w:cs="Times New Roman"/>
        </w:rPr>
        <w:t>0</w:t>
      </w:r>
      <w:r w:rsidR="00C339D9" w:rsidRPr="00AC1506">
        <w:rPr>
          <w:rFonts w:ascii="Times New Roman" w:hAnsi="Times New Roman" w:cs="Times New Roman"/>
        </w:rPr>
        <w:t xml:space="preserve"> </w:t>
      </w:r>
      <w:r w:rsidR="006B6F8B" w:rsidRPr="00AC1506">
        <w:rPr>
          <w:rFonts w:ascii="Times New Roman" w:hAnsi="Times New Roman" w:cs="Times New Roman"/>
        </w:rPr>
        <w:t xml:space="preserve">millones, </w:t>
      </w:r>
      <w:r w:rsidR="002808AA">
        <w:rPr>
          <w:rFonts w:ascii="Times New Roman" w:hAnsi="Times New Roman" w:cs="Times New Roman"/>
        </w:rPr>
        <w:t xml:space="preserve">cifra </w:t>
      </w:r>
      <w:r w:rsidR="00E868D4">
        <w:rPr>
          <w:rFonts w:ascii="Times New Roman" w:hAnsi="Times New Roman" w:cs="Times New Roman"/>
        </w:rPr>
        <w:t xml:space="preserve">que </w:t>
      </w:r>
      <w:r w:rsidR="00C2459E">
        <w:rPr>
          <w:rFonts w:ascii="Times New Roman" w:hAnsi="Times New Roman" w:cs="Times New Roman"/>
        </w:rPr>
        <w:t>refleja u</w:t>
      </w:r>
      <w:r w:rsidR="003A5918">
        <w:rPr>
          <w:rFonts w:ascii="Times New Roman" w:hAnsi="Times New Roman" w:cs="Times New Roman"/>
        </w:rPr>
        <w:t xml:space="preserve">na menor necesidad de endeudamiento respecto a lo </w:t>
      </w:r>
      <w:r w:rsidR="00801748" w:rsidRPr="00AC1506">
        <w:rPr>
          <w:rFonts w:ascii="Times New Roman" w:hAnsi="Times New Roman" w:cs="Times New Roman"/>
        </w:rPr>
        <w:t>observad</w:t>
      </w:r>
      <w:r w:rsidR="005000F5">
        <w:rPr>
          <w:rFonts w:ascii="Times New Roman" w:hAnsi="Times New Roman" w:cs="Times New Roman"/>
        </w:rPr>
        <w:t>a</w:t>
      </w:r>
      <w:r w:rsidR="00801748" w:rsidRPr="00AC1506">
        <w:rPr>
          <w:rFonts w:ascii="Times New Roman" w:hAnsi="Times New Roman" w:cs="Times New Roman"/>
        </w:rPr>
        <w:t xml:space="preserve"> en 20</w:t>
      </w:r>
      <w:r w:rsidR="008F7BC4">
        <w:rPr>
          <w:rFonts w:ascii="Times New Roman" w:hAnsi="Times New Roman" w:cs="Times New Roman"/>
        </w:rPr>
        <w:t>20</w:t>
      </w:r>
      <w:r w:rsidR="00BB1915">
        <w:rPr>
          <w:rFonts w:ascii="Times New Roman" w:hAnsi="Times New Roman" w:cs="Times New Roman"/>
        </w:rPr>
        <w:t>,</w:t>
      </w:r>
      <w:r w:rsidR="00801748" w:rsidRPr="00AC1506">
        <w:rPr>
          <w:rFonts w:ascii="Times New Roman" w:hAnsi="Times New Roman" w:cs="Times New Roman"/>
        </w:rPr>
        <w:t xml:space="preserve"> </w:t>
      </w:r>
      <w:r w:rsidR="003009C9">
        <w:rPr>
          <w:rFonts w:ascii="Times New Roman" w:hAnsi="Times New Roman" w:cs="Times New Roman"/>
        </w:rPr>
        <w:t xml:space="preserve">la cual </w:t>
      </w:r>
      <w:r w:rsidR="004741F9">
        <w:rPr>
          <w:rFonts w:ascii="Times New Roman" w:hAnsi="Times New Roman" w:cs="Times New Roman"/>
        </w:rPr>
        <w:t xml:space="preserve">fue </w:t>
      </w:r>
      <w:r w:rsidR="003A5918">
        <w:rPr>
          <w:rFonts w:ascii="Times New Roman" w:hAnsi="Times New Roman" w:cs="Times New Roman"/>
        </w:rPr>
        <w:t xml:space="preserve">de </w:t>
      </w:r>
      <w:r w:rsidR="004741F9">
        <w:rPr>
          <w:rFonts w:ascii="Times New Roman" w:hAnsi="Times New Roman" w:cs="Times New Roman"/>
        </w:rPr>
        <w:t>un endeudamiento</w:t>
      </w:r>
      <w:r w:rsidR="00BB1915">
        <w:rPr>
          <w:rFonts w:ascii="Times New Roman" w:hAnsi="Times New Roman" w:cs="Times New Roman"/>
        </w:rPr>
        <w:t xml:space="preserve"> </w:t>
      </w:r>
      <w:r w:rsidR="00FC2D03">
        <w:rPr>
          <w:rFonts w:ascii="Times New Roman" w:hAnsi="Times New Roman" w:cs="Times New Roman"/>
        </w:rPr>
        <w:t xml:space="preserve">(déficit) </w:t>
      </w:r>
      <w:r w:rsidR="003009C9">
        <w:rPr>
          <w:rFonts w:ascii="Times New Roman" w:hAnsi="Times New Roman" w:cs="Times New Roman"/>
        </w:rPr>
        <w:t xml:space="preserve">de </w:t>
      </w:r>
      <w:r w:rsidR="00A2423A" w:rsidRPr="00AC1506">
        <w:rPr>
          <w:rFonts w:ascii="Times New Roman" w:hAnsi="Times New Roman" w:cs="Times New Roman"/>
        </w:rPr>
        <w:t>Q</w:t>
      </w:r>
      <w:r w:rsidR="007F37DF">
        <w:rPr>
          <w:rFonts w:ascii="Times New Roman" w:hAnsi="Times New Roman" w:cs="Times New Roman"/>
        </w:rPr>
        <w:t>7</w:t>
      </w:r>
      <w:r w:rsidR="004741F9">
        <w:rPr>
          <w:rFonts w:ascii="Times New Roman" w:hAnsi="Times New Roman" w:cs="Times New Roman"/>
        </w:rPr>
        <w:t>,</w:t>
      </w:r>
      <w:r w:rsidR="007F37DF">
        <w:rPr>
          <w:rFonts w:ascii="Times New Roman" w:hAnsi="Times New Roman" w:cs="Times New Roman"/>
        </w:rPr>
        <w:t xml:space="preserve">915.8 </w:t>
      </w:r>
      <w:r w:rsidR="003D050C" w:rsidRPr="00AC1506">
        <w:rPr>
          <w:rFonts w:ascii="Times New Roman" w:hAnsi="Times New Roman" w:cs="Times New Roman"/>
        </w:rPr>
        <w:t>millone</w:t>
      </w:r>
      <w:r w:rsidR="005000F5">
        <w:rPr>
          <w:rFonts w:ascii="Times New Roman" w:hAnsi="Times New Roman" w:cs="Times New Roman"/>
        </w:rPr>
        <w:t>s</w:t>
      </w:r>
      <w:r w:rsidR="00F34F20">
        <w:rPr>
          <w:rFonts w:ascii="Times New Roman" w:hAnsi="Times New Roman" w:cs="Times New Roman"/>
        </w:rPr>
        <w:t xml:space="preserve"> y siendo una</w:t>
      </w:r>
      <w:r w:rsidR="00E868D4">
        <w:rPr>
          <w:rFonts w:ascii="Times New Roman" w:hAnsi="Times New Roman" w:cs="Times New Roman"/>
        </w:rPr>
        <w:t xml:space="preserve"> </w:t>
      </w:r>
      <w:r w:rsidR="003009C9">
        <w:rPr>
          <w:rFonts w:ascii="Times New Roman" w:hAnsi="Times New Roman" w:cs="Times New Roman"/>
        </w:rPr>
        <w:t xml:space="preserve">diferencia </w:t>
      </w:r>
      <w:r w:rsidR="00FC2D03">
        <w:rPr>
          <w:rFonts w:ascii="Times New Roman" w:hAnsi="Times New Roman" w:cs="Times New Roman"/>
        </w:rPr>
        <w:t>interanual de</w:t>
      </w:r>
      <w:r w:rsidR="003009C9">
        <w:rPr>
          <w:rFonts w:ascii="Times New Roman" w:hAnsi="Times New Roman" w:cs="Times New Roman"/>
        </w:rPr>
        <w:t xml:space="preserve"> </w:t>
      </w:r>
      <w:r w:rsidR="0075426C" w:rsidRPr="008863D0">
        <w:rPr>
          <w:rFonts w:ascii="Times New Roman" w:hAnsi="Times New Roman" w:cs="Times New Roman"/>
        </w:rPr>
        <w:t>Q</w:t>
      </w:r>
      <w:r w:rsidR="00F34F20">
        <w:rPr>
          <w:rFonts w:ascii="Times New Roman" w:hAnsi="Times New Roman" w:cs="Times New Roman"/>
        </w:rPr>
        <w:t>6</w:t>
      </w:r>
      <w:r w:rsidR="0075426C" w:rsidRPr="008863D0">
        <w:rPr>
          <w:rFonts w:ascii="Times New Roman" w:hAnsi="Times New Roman" w:cs="Times New Roman"/>
        </w:rPr>
        <w:t>,</w:t>
      </w:r>
      <w:r w:rsidR="00F34F20">
        <w:rPr>
          <w:rFonts w:ascii="Times New Roman" w:hAnsi="Times New Roman" w:cs="Times New Roman"/>
        </w:rPr>
        <w:t>0</w:t>
      </w:r>
      <w:r w:rsidR="006F5850">
        <w:rPr>
          <w:rFonts w:ascii="Times New Roman" w:hAnsi="Times New Roman" w:cs="Times New Roman"/>
        </w:rPr>
        <w:t>7</w:t>
      </w:r>
      <w:r w:rsidR="00F34F20">
        <w:rPr>
          <w:rFonts w:ascii="Times New Roman" w:hAnsi="Times New Roman" w:cs="Times New Roman"/>
        </w:rPr>
        <w:t>3</w:t>
      </w:r>
      <w:r w:rsidR="00121A26" w:rsidRPr="008863D0">
        <w:rPr>
          <w:rFonts w:ascii="Times New Roman" w:hAnsi="Times New Roman" w:cs="Times New Roman"/>
        </w:rPr>
        <w:t>.</w:t>
      </w:r>
      <w:r w:rsidR="00F34F20">
        <w:rPr>
          <w:rFonts w:ascii="Times New Roman" w:hAnsi="Times New Roman" w:cs="Times New Roman"/>
        </w:rPr>
        <w:t>8</w:t>
      </w:r>
      <w:r w:rsidR="0075426C" w:rsidRPr="008863D0">
        <w:rPr>
          <w:rFonts w:ascii="Times New Roman" w:hAnsi="Times New Roman" w:cs="Times New Roman"/>
        </w:rPr>
        <w:t xml:space="preserve"> millones</w:t>
      </w:r>
      <w:r w:rsidR="00E02D89" w:rsidRPr="008863D0">
        <w:rPr>
          <w:rFonts w:ascii="Times New Roman" w:hAnsi="Times New Roman" w:cs="Times New Roman"/>
        </w:rPr>
        <w:t>.</w:t>
      </w:r>
      <w:r w:rsidR="003D050C" w:rsidRPr="00AC1506">
        <w:rPr>
          <w:rFonts w:ascii="Times New Roman" w:hAnsi="Times New Roman" w:cs="Times New Roman"/>
        </w:rPr>
        <w:t xml:space="preserve"> </w:t>
      </w:r>
    </w:p>
    <w:p w14:paraId="23975165" w14:textId="77777777" w:rsidR="00FC2D03" w:rsidRDefault="00FC2D03" w:rsidP="00220281">
      <w:pPr>
        <w:pStyle w:val="Sinespaciado"/>
        <w:jc w:val="both"/>
        <w:rPr>
          <w:rFonts w:ascii="Times New Roman" w:hAnsi="Times New Roman" w:cs="Times New Roman"/>
        </w:rPr>
      </w:pPr>
    </w:p>
    <w:p w14:paraId="54B76105" w14:textId="33F09080" w:rsidR="00FE4F9B" w:rsidRDefault="00FE4F9B" w:rsidP="00220281">
      <w:pPr>
        <w:pStyle w:val="Sinespaciado"/>
        <w:jc w:val="both"/>
        <w:rPr>
          <w:rFonts w:cs="Times New Roman"/>
          <w:b/>
          <w:lang w:val="es-MX"/>
        </w:rPr>
      </w:pPr>
    </w:p>
    <w:p w14:paraId="2EE43B1E" w14:textId="04BCC5B8" w:rsidR="0006231C" w:rsidRDefault="0006231C" w:rsidP="00220281">
      <w:pPr>
        <w:pStyle w:val="Sinespaciado"/>
        <w:jc w:val="both"/>
        <w:rPr>
          <w:rFonts w:cs="Times New Roman"/>
          <w:b/>
          <w:lang w:val="es-MX"/>
        </w:rPr>
      </w:pPr>
    </w:p>
    <w:p w14:paraId="58F9D2D3" w14:textId="0319BE39" w:rsidR="0006231C" w:rsidRDefault="0006231C" w:rsidP="00220281">
      <w:pPr>
        <w:pStyle w:val="Sinespaciado"/>
        <w:jc w:val="both"/>
        <w:rPr>
          <w:rFonts w:cs="Times New Roman"/>
          <w:b/>
          <w:lang w:val="es-MX"/>
        </w:rPr>
      </w:pPr>
    </w:p>
    <w:p w14:paraId="0DA354D2" w14:textId="4DF9B40A" w:rsidR="0006231C" w:rsidRDefault="0006231C" w:rsidP="00220281">
      <w:pPr>
        <w:pStyle w:val="Sinespaciado"/>
        <w:jc w:val="both"/>
        <w:rPr>
          <w:rFonts w:cs="Times New Roman"/>
          <w:b/>
          <w:lang w:val="es-MX"/>
        </w:rPr>
      </w:pPr>
    </w:p>
    <w:p w14:paraId="7F7CB381" w14:textId="6DFF4DD4" w:rsidR="0006231C" w:rsidRDefault="0006231C" w:rsidP="00220281">
      <w:pPr>
        <w:pStyle w:val="Sinespaciado"/>
        <w:jc w:val="both"/>
        <w:rPr>
          <w:rFonts w:cs="Times New Roman"/>
          <w:b/>
          <w:lang w:val="es-MX"/>
        </w:rPr>
      </w:pPr>
    </w:p>
    <w:p w14:paraId="7659A27E" w14:textId="67BBABF0" w:rsidR="0006231C" w:rsidRDefault="0006231C" w:rsidP="00220281">
      <w:pPr>
        <w:pStyle w:val="Sinespaciado"/>
        <w:jc w:val="both"/>
        <w:rPr>
          <w:rFonts w:cs="Times New Roman"/>
          <w:b/>
          <w:lang w:val="es-MX"/>
        </w:rPr>
      </w:pPr>
    </w:p>
    <w:p w14:paraId="25C0133F" w14:textId="54AF116E" w:rsidR="0006231C" w:rsidRDefault="0006231C" w:rsidP="00220281">
      <w:pPr>
        <w:pStyle w:val="Sinespaciado"/>
        <w:jc w:val="both"/>
        <w:rPr>
          <w:rFonts w:cs="Times New Roman"/>
          <w:b/>
          <w:lang w:val="es-MX"/>
        </w:rPr>
      </w:pPr>
    </w:p>
    <w:p w14:paraId="5B3C95FB" w14:textId="3E52A30A" w:rsidR="0006231C" w:rsidRDefault="0006231C" w:rsidP="00220281">
      <w:pPr>
        <w:pStyle w:val="Sinespaciado"/>
        <w:jc w:val="both"/>
        <w:rPr>
          <w:rFonts w:cs="Times New Roman"/>
          <w:b/>
          <w:lang w:val="es-MX"/>
        </w:rPr>
      </w:pPr>
    </w:p>
    <w:p w14:paraId="03457CD8" w14:textId="1BD32584" w:rsidR="0006231C" w:rsidRDefault="0006231C" w:rsidP="00220281">
      <w:pPr>
        <w:pStyle w:val="Sinespaciado"/>
        <w:jc w:val="both"/>
        <w:rPr>
          <w:rFonts w:cs="Times New Roman"/>
          <w:b/>
          <w:lang w:val="es-MX"/>
        </w:rPr>
      </w:pPr>
    </w:p>
    <w:p w14:paraId="0E52F188" w14:textId="1F0897D8" w:rsidR="0006231C" w:rsidRDefault="0006231C" w:rsidP="00220281">
      <w:pPr>
        <w:pStyle w:val="Sinespaciado"/>
        <w:jc w:val="both"/>
        <w:rPr>
          <w:rFonts w:cs="Times New Roman"/>
          <w:b/>
          <w:lang w:val="es-MX"/>
        </w:rPr>
      </w:pPr>
    </w:p>
    <w:p w14:paraId="27B5FE1B" w14:textId="0BE213F9" w:rsidR="0006231C" w:rsidRDefault="0006231C" w:rsidP="00220281">
      <w:pPr>
        <w:pStyle w:val="Sinespaciado"/>
        <w:jc w:val="both"/>
        <w:rPr>
          <w:rFonts w:cs="Times New Roman"/>
          <w:b/>
          <w:lang w:val="es-MX"/>
        </w:rPr>
      </w:pPr>
    </w:p>
    <w:p w14:paraId="7B24F9D7" w14:textId="5491AAC2" w:rsidR="0006231C" w:rsidRDefault="0006231C" w:rsidP="00220281">
      <w:pPr>
        <w:pStyle w:val="Sinespaciado"/>
        <w:jc w:val="both"/>
        <w:rPr>
          <w:rFonts w:cs="Times New Roman"/>
          <w:b/>
          <w:lang w:val="es-MX"/>
        </w:rPr>
      </w:pPr>
    </w:p>
    <w:p w14:paraId="7350C5D7" w14:textId="7CC2C27C" w:rsidR="0006231C" w:rsidRDefault="0006231C" w:rsidP="00220281">
      <w:pPr>
        <w:pStyle w:val="Sinespaciado"/>
        <w:jc w:val="both"/>
        <w:rPr>
          <w:rFonts w:cs="Times New Roman"/>
          <w:b/>
          <w:lang w:val="es-MX"/>
        </w:rPr>
      </w:pPr>
    </w:p>
    <w:p w14:paraId="56AC1923" w14:textId="234D4AEE" w:rsidR="0006231C" w:rsidRDefault="0006231C" w:rsidP="00220281">
      <w:pPr>
        <w:pStyle w:val="Sinespaciado"/>
        <w:jc w:val="both"/>
        <w:rPr>
          <w:rFonts w:cs="Times New Roman"/>
          <w:b/>
          <w:lang w:val="es-MX"/>
        </w:rPr>
      </w:pPr>
    </w:p>
    <w:p w14:paraId="3414FDFB" w14:textId="7260C661" w:rsidR="00264A75" w:rsidRPr="00AC1506" w:rsidRDefault="00264A75" w:rsidP="00997543">
      <w:pPr>
        <w:jc w:val="center"/>
        <w:rPr>
          <w:rFonts w:cs="Times New Roman"/>
          <w:b/>
          <w:szCs w:val="22"/>
          <w:lang w:val="es-MX"/>
        </w:rPr>
      </w:pPr>
      <w:r w:rsidRPr="00AC1506">
        <w:rPr>
          <w:rFonts w:cs="Times New Roman"/>
          <w:b/>
          <w:szCs w:val="22"/>
          <w:lang w:val="es-MX"/>
        </w:rPr>
        <w:t xml:space="preserve">Estado de </w:t>
      </w:r>
      <w:r w:rsidR="00697544" w:rsidRPr="00AC1506">
        <w:rPr>
          <w:rFonts w:cs="Times New Roman"/>
          <w:b/>
          <w:szCs w:val="22"/>
          <w:lang w:val="es-MX"/>
        </w:rPr>
        <w:t>O</w:t>
      </w:r>
      <w:r w:rsidRPr="00AC1506">
        <w:rPr>
          <w:rFonts w:cs="Times New Roman"/>
          <w:b/>
          <w:szCs w:val="22"/>
          <w:lang w:val="es-MX"/>
        </w:rPr>
        <w:t>peraciones</w:t>
      </w:r>
      <w:r w:rsidR="007105EE" w:rsidRPr="00AC1506">
        <w:rPr>
          <w:rFonts w:cs="Times New Roman"/>
          <w:b/>
          <w:szCs w:val="22"/>
          <w:lang w:val="es-MX"/>
        </w:rPr>
        <w:t xml:space="preserve"> </w:t>
      </w:r>
      <w:r w:rsidRPr="00AC1506">
        <w:rPr>
          <w:rFonts w:cs="Times New Roman"/>
          <w:b/>
          <w:szCs w:val="22"/>
          <w:lang w:val="es-MX"/>
        </w:rPr>
        <w:t>del Gobierno Central Presupuestario</w:t>
      </w:r>
    </w:p>
    <w:p w14:paraId="2E3C6876" w14:textId="4F9BEAD5" w:rsidR="007105EE" w:rsidRPr="00AC1506" w:rsidRDefault="007105EE" w:rsidP="00997543">
      <w:pPr>
        <w:jc w:val="center"/>
        <w:rPr>
          <w:rFonts w:cs="Times New Roman"/>
          <w:b/>
          <w:szCs w:val="22"/>
          <w:lang w:val="es-MX"/>
        </w:rPr>
      </w:pPr>
      <w:r w:rsidRPr="00AC1506">
        <w:rPr>
          <w:rFonts w:cs="Times New Roman"/>
          <w:b/>
          <w:szCs w:val="22"/>
          <w:lang w:val="es-MX"/>
        </w:rPr>
        <w:t xml:space="preserve">Cifras acumuladas a </w:t>
      </w:r>
      <w:r w:rsidR="00C925F3">
        <w:rPr>
          <w:rFonts w:cs="Times New Roman"/>
          <w:b/>
          <w:szCs w:val="22"/>
          <w:lang w:val="es-MX"/>
        </w:rPr>
        <w:t>junio</w:t>
      </w:r>
      <w:r w:rsidR="0040363B">
        <w:rPr>
          <w:rFonts w:cs="Times New Roman"/>
          <w:b/>
          <w:szCs w:val="22"/>
          <w:lang w:val="es-MX"/>
        </w:rPr>
        <w:t xml:space="preserve"> de cada año</w:t>
      </w:r>
      <w:r w:rsidRPr="00AC1506">
        <w:rPr>
          <w:rFonts w:cs="Times New Roman"/>
          <w:b/>
          <w:szCs w:val="22"/>
          <w:lang w:val="es-MX"/>
        </w:rPr>
        <w:t>*</w:t>
      </w:r>
    </w:p>
    <w:p w14:paraId="573DB828" w14:textId="79DD8E71" w:rsidR="00697544" w:rsidRDefault="00697544" w:rsidP="00AB01D3">
      <w:pPr>
        <w:spacing w:after="240"/>
        <w:jc w:val="center"/>
        <w:rPr>
          <w:rFonts w:cs="Times New Roman"/>
          <w:bCs/>
          <w:szCs w:val="22"/>
          <w:lang w:val="es-MX"/>
        </w:rPr>
      </w:pPr>
      <w:r w:rsidRPr="00AC1506">
        <w:rPr>
          <w:rFonts w:cs="Times New Roman"/>
          <w:bCs/>
          <w:szCs w:val="22"/>
          <w:lang w:val="es-MX"/>
        </w:rPr>
        <w:t>En millones de Quetzales</w:t>
      </w:r>
      <w:r w:rsidR="00414C97" w:rsidRPr="00AC1506">
        <w:rPr>
          <w:rFonts w:cs="Times New Roman"/>
          <w:bCs/>
          <w:szCs w:val="22"/>
          <w:lang w:val="es-MX"/>
        </w:rPr>
        <w:t xml:space="preserve"> y</w:t>
      </w:r>
      <w:r w:rsidR="0090006B">
        <w:rPr>
          <w:rFonts w:cs="Times New Roman"/>
          <w:bCs/>
          <w:szCs w:val="22"/>
          <w:lang w:val="es-MX"/>
        </w:rPr>
        <w:t xml:space="preserve"> </w:t>
      </w:r>
      <w:r w:rsidR="00414C97" w:rsidRPr="00AC1506">
        <w:rPr>
          <w:rFonts w:cs="Times New Roman"/>
          <w:bCs/>
          <w:szCs w:val="22"/>
          <w:lang w:val="es-MX"/>
        </w:rPr>
        <w:t>Porcentajes</w:t>
      </w:r>
    </w:p>
    <w:tbl>
      <w:tblPr>
        <w:tblW w:w="7213" w:type="dxa"/>
        <w:jc w:val="center"/>
        <w:tblCellMar>
          <w:left w:w="70" w:type="dxa"/>
          <w:right w:w="70" w:type="dxa"/>
        </w:tblCellMar>
        <w:tblLook w:val="04A0" w:firstRow="1" w:lastRow="0" w:firstColumn="1" w:lastColumn="0" w:noHBand="0" w:noVBand="1"/>
      </w:tblPr>
      <w:tblGrid>
        <w:gridCol w:w="3467"/>
        <w:gridCol w:w="945"/>
        <w:gridCol w:w="945"/>
        <w:gridCol w:w="945"/>
        <w:gridCol w:w="911"/>
      </w:tblGrid>
      <w:tr w:rsidR="00844F46" w:rsidRPr="00844F46" w14:paraId="7189854A" w14:textId="77777777" w:rsidTr="002700BC">
        <w:trPr>
          <w:trHeight w:val="267"/>
          <w:jc w:val="center"/>
        </w:trPr>
        <w:tc>
          <w:tcPr>
            <w:tcW w:w="3467" w:type="dxa"/>
            <w:vMerge w:val="restart"/>
            <w:tcBorders>
              <w:top w:val="single" w:sz="8" w:space="0" w:color="auto"/>
              <w:left w:val="single" w:sz="8" w:space="0" w:color="auto"/>
              <w:bottom w:val="single" w:sz="8" w:space="0" w:color="000000"/>
              <w:right w:val="nil"/>
            </w:tcBorders>
            <w:shd w:val="clear" w:color="000000" w:fill="44546A"/>
            <w:noWrap/>
            <w:vAlign w:val="center"/>
            <w:hideMark/>
          </w:tcPr>
          <w:p w14:paraId="5E0E8680" w14:textId="77777777" w:rsidR="00844F46" w:rsidRPr="00844F46" w:rsidRDefault="00844F46" w:rsidP="00844F46">
            <w:pPr>
              <w:jc w:val="center"/>
              <w:rPr>
                <w:rFonts w:eastAsia="Times New Roman" w:cs="Times New Roman"/>
                <w:b/>
                <w:bCs/>
                <w:color w:val="FFFFFF"/>
                <w:sz w:val="18"/>
                <w:szCs w:val="18"/>
                <w:lang w:eastAsia="es-GT"/>
              </w:rPr>
            </w:pPr>
            <w:r w:rsidRPr="00844F46">
              <w:rPr>
                <w:rFonts w:eastAsia="Times New Roman" w:cs="Times New Roman"/>
                <w:b/>
                <w:bCs/>
                <w:color w:val="FFFFFF"/>
                <w:sz w:val="18"/>
                <w:szCs w:val="18"/>
                <w:lang w:eastAsia="es-GT"/>
              </w:rPr>
              <w:t>Descripción</w:t>
            </w:r>
          </w:p>
        </w:tc>
        <w:tc>
          <w:tcPr>
            <w:tcW w:w="945" w:type="dxa"/>
            <w:vMerge w:val="restart"/>
            <w:tcBorders>
              <w:top w:val="single" w:sz="8" w:space="0" w:color="auto"/>
              <w:left w:val="single" w:sz="8" w:space="0" w:color="auto"/>
              <w:bottom w:val="single" w:sz="8" w:space="0" w:color="000000"/>
              <w:right w:val="single" w:sz="8" w:space="0" w:color="auto"/>
            </w:tcBorders>
            <w:shd w:val="clear" w:color="000000" w:fill="44546A"/>
            <w:vAlign w:val="center"/>
            <w:hideMark/>
          </w:tcPr>
          <w:p w14:paraId="6E4AD4AF" w14:textId="3FF386D6" w:rsidR="00844F46" w:rsidRPr="00844F46" w:rsidRDefault="00844F46" w:rsidP="00844F46">
            <w:pPr>
              <w:jc w:val="center"/>
              <w:rPr>
                <w:rFonts w:eastAsia="Times New Roman" w:cs="Times New Roman"/>
                <w:b/>
                <w:bCs/>
                <w:color w:val="FFFFFF"/>
                <w:sz w:val="18"/>
                <w:szCs w:val="18"/>
                <w:lang w:eastAsia="es-GT"/>
              </w:rPr>
            </w:pPr>
            <w:r w:rsidRPr="00844F46">
              <w:rPr>
                <w:rFonts w:eastAsia="Times New Roman" w:cs="Times New Roman"/>
                <w:b/>
                <w:bCs/>
                <w:color w:val="FFFFFF"/>
                <w:sz w:val="18"/>
                <w:szCs w:val="18"/>
                <w:lang w:eastAsia="es-GT"/>
              </w:rPr>
              <w:t>20</w:t>
            </w:r>
            <w:r w:rsidR="008251CF">
              <w:rPr>
                <w:rFonts w:eastAsia="Times New Roman" w:cs="Times New Roman"/>
                <w:b/>
                <w:bCs/>
                <w:color w:val="FFFFFF"/>
                <w:sz w:val="18"/>
                <w:szCs w:val="18"/>
                <w:lang w:eastAsia="es-GT"/>
              </w:rPr>
              <w:t>20</w:t>
            </w:r>
          </w:p>
        </w:tc>
        <w:tc>
          <w:tcPr>
            <w:tcW w:w="945" w:type="dxa"/>
            <w:vMerge w:val="restart"/>
            <w:tcBorders>
              <w:top w:val="single" w:sz="8" w:space="0" w:color="auto"/>
              <w:left w:val="single" w:sz="8" w:space="0" w:color="auto"/>
              <w:bottom w:val="single" w:sz="8" w:space="0" w:color="000000"/>
              <w:right w:val="single" w:sz="8" w:space="0" w:color="auto"/>
            </w:tcBorders>
            <w:shd w:val="clear" w:color="000000" w:fill="44546A"/>
            <w:vAlign w:val="center"/>
            <w:hideMark/>
          </w:tcPr>
          <w:p w14:paraId="47CE24E6" w14:textId="290BE4E0" w:rsidR="00844F46" w:rsidRPr="00844F46" w:rsidRDefault="00844F46" w:rsidP="00844F46">
            <w:pPr>
              <w:jc w:val="center"/>
              <w:rPr>
                <w:rFonts w:eastAsia="Times New Roman" w:cs="Times New Roman"/>
                <w:b/>
                <w:bCs/>
                <w:color w:val="FFFFFF"/>
                <w:sz w:val="18"/>
                <w:szCs w:val="18"/>
                <w:lang w:eastAsia="es-GT"/>
              </w:rPr>
            </w:pPr>
            <w:r w:rsidRPr="00844F46">
              <w:rPr>
                <w:rFonts w:eastAsia="Times New Roman" w:cs="Times New Roman"/>
                <w:b/>
                <w:bCs/>
                <w:color w:val="FFFFFF"/>
                <w:sz w:val="18"/>
                <w:szCs w:val="18"/>
                <w:lang w:eastAsia="es-GT"/>
              </w:rPr>
              <w:t>20</w:t>
            </w:r>
            <w:r w:rsidR="008251CF">
              <w:rPr>
                <w:rFonts w:eastAsia="Times New Roman" w:cs="Times New Roman"/>
                <w:b/>
                <w:bCs/>
                <w:color w:val="FFFFFF"/>
                <w:sz w:val="18"/>
                <w:szCs w:val="18"/>
                <w:lang w:eastAsia="es-GT"/>
              </w:rPr>
              <w:t>21</w:t>
            </w:r>
            <w:r w:rsidRPr="00844F46">
              <w:rPr>
                <w:rFonts w:eastAsia="Times New Roman" w:cs="Times New Roman"/>
                <w:b/>
                <w:bCs/>
                <w:color w:val="FFFFFF"/>
                <w:sz w:val="18"/>
                <w:szCs w:val="18"/>
                <w:lang w:eastAsia="es-GT"/>
              </w:rPr>
              <w:t>*</w:t>
            </w:r>
          </w:p>
        </w:tc>
        <w:tc>
          <w:tcPr>
            <w:tcW w:w="1856" w:type="dxa"/>
            <w:gridSpan w:val="2"/>
            <w:tcBorders>
              <w:top w:val="single" w:sz="8" w:space="0" w:color="auto"/>
              <w:left w:val="nil"/>
              <w:bottom w:val="single" w:sz="8" w:space="0" w:color="auto"/>
              <w:right w:val="single" w:sz="8" w:space="0" w:color="000000"/>
            </w:tcBorders>
            <w:shd w:val="clear" w:color="000000" w:fill="44546A"/>
            <w:vAlign w:val="center"/>
            <w:hideMark/>
          </w:tcPr>
          <w:p w14:paraId="4A6A77FA" w14:textId="77777777" w:rsidR="00844F46" w:rsidRPr="00844F46" w:rsidRDefault="00844F46" w:rsidP="00844F46">
            <w:pPr>
              <w:jc w:val="center"/>
              <w:rPr>
                <w:rFonts w:eastAsia="Times New Roman" w:cs="Times New Roman"/>
                <w:b/>
                <w:bCs/>
                <w:color w:val="FFFFFF"/>
                <w:sz w:val="18"/>
                <w:szCs w:val="18"/>
                <w:lang w:eastAsia="es-GT"/>
              </w:rPr>
            </w:pPr>
            <w:r w:rsidRPr="00844F46">
              <w:rPr>
                <w:rFonts w:eastAsia="Times New Roman" w:cs="Times New Roman"/>
                <w:b/>
                <w:bCs/>
                <w:color w:val="FFFFFF"/>
                <w:sz w:val="18"/>
                <w:szCs w:val="18"/>
                <w:lang w:eastAsia="es-GT"/>
              </w:rPr>
              <w:t>Variación Interanual</w:t>
            </w:r>
          </w:p>
        </w:tc>
      </w:tr>
      <w:tr w:rsidR="00844F46" w:rsidRPr="00844F46" w14:paraId="6747E5DC" w14:textId="77777777" w:rsidTr="002700BC">
        <w:trPr>
          <w:trHeight w:val="267"/>
          <w:jc w:val="center"/>
        </w:trPr>
        <w:tc>
          <w:tcPr>
            <w:tcW w:w="3467" w:type="dxa"/>
            <w:vMerge/>
            <w:tcBorders>
              <w:top w:val="single" w:sz="8" w:space="0" w:color="auto"/>
              <w:left w:val="single" w:sz="8" w:space="0" w:color="auto"/>
              <w:bottom w:val="single" w:sz="8" w:space="0" w:color="000000"/>
              <w:right w:val="nil"/>
            </w:tcBorders>
            <w:vAlign w:val="center"/>
            <w:hideMark/>
          </w:tcPr>
          <w:p w14:paraId="43CB4F0F" w14:textId="77777777" w:rsidR="00844F46" w:rsidRPr="00844F46" w:rsidRDefault="00844F46" w:rsidP="00844F46">
            <w:pPr>
              <w:jc w:val="left"/>
              <w:rPr>
                <w:rFonts w:eastAsia="Times New Roman" w:cs="Times New Roman"/>
                <w:b/>
                <w:bCs/>
                <w:color w:val="FFFFFF"/>
                <w:sz w:val="18"/>
                <w:szCs w:val="18"/>
                <w:lang w:eastAsia="es-GT"/>
              </w:rPr>
            </w:pPr>
          </w:p>
        </w:tc>
        <w:tc>
          <w:tcPr>
            <w:tcW w:w="945" w:type="dxa"/>
            <w:vMerge/>
            <w:tcBorders>
              <w:top w:val="single" w:sz="8" w:space="0" w:color="auto"/>
              <w:left w:val="single" w:sz="8" w:space="0" w:color="auto"/>
              <w:bottom w:val="single" w:sz="8" w:space="0" w:color="000000"/>
              <w:right w:val="single" w:sz="8" w:space="0" w:color="auto"/>
            </w:tcBorders>
            <w:vAlign w:val="center"/>
            <w:hideMark/>
          </w:tcPr>
          <w:p w14:paraId="69A4D0EE" w14:textId="77777777" w:rsidR="00844F46" w:rsidRPr="00844F46" w:rsidRDefault="00844F46" w:rsidP="00844F46">
            <w:pPr>
              <w:jc w:val="left"/>
              <w:rPr>
                <w:rFonts w:eastAsia="Times New Roman" w:cs="Times New Roman"/>
                <w:b/>
                <w:bCs/>
                <w:color w:val="FFFFFF"/>
                <w:sz w:val="18"/>
                <w:szCs w:val="18"/>
                <w:lang w:eastAsia="es-GT"/>
              </w:rPr>
            </w:pPr>
          </w:p>
        </w:tc>
        <w:tc>
          <w:tcPr>
            <w:tcW w:w="945" w:type="dxa"/>
            <w:vMerge/>
            <w:tcBorders>
              <w:top w:val="single" w:sz="8" w:space="0" w:color="auto"/>
              <w:left w:val="single" w:sz="8" w:space="0" w:color="auto"/>
              <w:bottom w:val="single" w:sz="8" w:space="0" w:color="000000"/>
              <w:right w:val="single" w:sz="8" w:space="0" w:color="auto"/>
            </w:tcBorders>
            <w:vAlign w:val="center"/>
            <w:hideMark/>
          </w:tcPr>
          <w:p w14:paraId="72F03C89" w14:textId="77777777" w:rsidR="00844F46" w:rsidRPr="00844F46" w:rsidRDefault="00844F46" w:rsidP="00844F46">
            <w:pPr>
              <w:jc w:val="left"/>
              <w:rPr>
                <w:rFonts w:eastAsia="Times New Roman" w:cs="Times New Roman"/>
                <w:b/>
                <w:bCs/>
                <w:color w:val="FFFFFF"/>
                <w:sz w:val="18"/>
                <w:szCs w:val="18"/>
                <w:lang w:eastAsia="es-GT"/>
              </w:rPr>
            </w:pPr>
          </w:p>
        </w:tc>
        <w:tc>
          <w:tcPr>
            <w:tcW w:w="945" w:type="dxa"/>
            <w:tcBorders>
              <w:top w:val="nil"/>
              <w:left w:val="nil"/>
              <w:bottom w:val="single" w:sz="8" w:space="0" w:color="auto"/>
              <w:right w:val="single" w:sz="8" w:space="0" w:color="auto"/>
            </w:tcBorders>
            <w:shd w:val="clear" w:color="000000" w:fill="808080"/>
            <w:vAlign w:val="center"/>
            <w:hideMark/>
          </w:tcPr>
          <w:p w14:paraId="054F3A33" w14:textId="77777777" w:rsidR="00844F46" w:rsidRPr="00844F46" w:rsidRDefault="00844F46" w:rsidP="00844F46">
            <w:pPr>
              <w:jc w:val="center"/>
              <w:rPr>
                <w:rFonts w:eastAsia="Times New Roman" w:cs="Times New Roman"/>
                <w:b/>
                <w:bCs/>
                <w:color w:val="FFFFFF"/>
                <w:sz w:val="18"/>
                <w:szCs w:val="18"/>
                <w:lang w:eastAsia="es-GT"/>
              </w:rPr>
            </w:pPr>
            <w:r w:rsidRPr="00844F46">
              <w:rPr>
                <w:rFonts w:eastAsia="Times New Roman" w:cs="Times New Roman"/>
                <w:b/>
                <w:bCs/>
                <w:color w:val="FFFFFF"/>
                <w:sz w:val="18"/>
                <w:szCs w:val="18"/>
                <w:lang w:eastAsia="es-GT"/>
              </w:rPr>
              <w:t>Absoluta</w:t>
            </w:r>
          </w:p>
        </w:tc>
        <w:tc>
          <w:tcPr>
            <w:tcW w:w="911" w:type="dxa"/>
            <w:tcBorders>
              <w:top w:val="nil"/>
              <w:left w:val="nil"/>
              <w:bottom w:val="single" w:sz="8" w:space="0" w:color="auto"/>
              <w:right w:val="single" w:sz="8" w:space="0" w:color="auto"/>
            </w:tcBorders>
            <w:shd w:val="clear" w:color="000000" w:fill="808080"/>
            <w:vAlign w:val="center"/>
            <w:hideMark/>
          </w:tcPr>
          <w:p w14:paraId="4B7875B1" w14:textId="77777777" w:rsidR="00844F46" w:rsidRPr="00844F46" w:rsidRDefault="00844F46" w:rsidP="00844F46">
            <w:pPr>
              <w:jc w:val="center"/>
              <w:rPr>
                <w:rFonts w:eastAsia="Times New Roman" w:cs="Times New Roman"/>
                <w:b/>
                <w:bCs/>
                <w:color w:val="FFFFFF"/>
                <w:sz w:val="18"/>
                <w:szCs w:val="18"/>
                <w:lang w:eastAsia="es-GT"/>
              </w:rPr>
            </w:pPr>
            <w:r w:rsidRPr="00844F46">
              <w:rPr>
                <w:rFonts w:eastAsia="Times New Roman" w:cs="Times New Roman"/>
                <w:b/>
                <w:bCs/>
                <w:color w:val="FFFFFF"/>
                <w:sz w:val="18"/>
                <w:szCs w:val="18"/>
                <w:lang w:eastAsia="es-GT"/>
              </w:rPr>
              <w:t>Relativa</w:t>
            </w:r>
          </w:p>
        </w:tc>
      </w:tr>
      <w:tr w:rsidR="00B66BA5" w:rsidRPr="00844F46" w14:paraId="1A948E7F" w14:textId="77777777" w:rsidTr="002700BC">
        <w:trPr>
          <w:trHeight w:val="255"/>
          <w:jc w:val="center"/>
        </w:trPr>
        <w:tc>
          <w:tcPr>
            <w:tcW w:w="3467" w:type="dxa"/>
            <w:tcBorders>
              <w:top w:val="nil"/>
              <w:left w:val="nil"/>
              <w:bottom w:val="nil"/>
              <w:right w:val="nil"/>
            </w:tcBorders>
            <w:shd w:val="clear" w:color="auto" w:fill="auto"/>
            <w:noWrap/>
            <w:vAlign w:val="center"/>
            <w:hideMark/>
          </w:tcPr>
          <w:p w14:paraId="4C4A0B9A" w14:textId="77777777" w:rsidR="00B66BA5" w:rsidRPr="005E4085" w:rsidRDefault="00B66BA5" w:rsidP="00B66BA5">
            <w:pPr>
              <w:rPr>
                <w:rFonts w:eastAsia="Times New Roman" w:cs="Times New Roman"/>
                <w:b/>
                <w:bCs/>
                <w:color w:val="000000"/>
                <w:sz w:val="18"/>
                <w:szCs w:val="18"/>
                <w:lang w:eastAsia="es-GT"/>
              </w:rPr>
            </w:pPr>
            <w:r w:rsidRPr="005E4085">
              <w:rPr>
                <w:rFonts w:eastAsia="Times New Roman" w:cs="Times New Roman"/>
                <w:b/>
                <w:bCs/>
                <w:color w:val="000000"/>
                <w:sz w:val="18"/>
                <w:szCs w:val="18"/>
                <w:lang w:eastAsia="es-GT"/>
              </w:rPr>
              <w:t>INGRESO</w:t>
            </w:r>
          </w:p>
        </w:tc>
        <w:tc>
          <w:tcPr>
            <w:tcW w:w="945" w:type="dxa"/>
            <w:tcBorders>
              <w:top w:val="nil"/>
              <w:left w:val="nil"/>
              <w:bottom w:val="nil"/>
              <w:right w:val="nil"/>
            </w:tcBorders>
            <w:shd w:val="clear" w:color="auto" w:fill="auto"/>
            <w:noWrap/>
            <w:vAlign w:val="center"/>
            <w:hideMark/>
          </w:tcPr>
          <w:p w14:paraId="4FABF540" w14:textId="64149533" w:rsidR="00B66BA5" w:rsidRPr="005E4085" w:rsidRDefault="00B66BA5" w:rsidP="00B66BA5">
            <w:pPr>
              <w:jc w:val="center"/>
              <w:rPr>
                <w:rFonts w:eastAsia="Times New Roman" w:cs="Times New Roman"/>
                <w:b/>
                <w:bCs/>
                <w:color w:val="000000"/>
                <w:sz w:val="18"/>
                <w:szCs w:val="18"/>
                <w:lang w:eastAsia="es-GT"/>
              </w:rPr>
            </w:pPr>
            <w:r>
              <w:rPr>
                <w:b/>
                <w:bCs/>
                <w:color w:val="000000"/>
                <w:sz w:val="18"/>
                <w:szCs w:val="18"/>
              </w:rPr>
              <w:t>31,322.1</w:t>
            </w:r>
          </w:p>
        </w:tc>
        <w:tc>
          <w:tcPr>
            <w:tcW w:w="945" w:type="dxa"/>
            <w:tcBorders>
              <w:top w:val="nil"/>
              <w:left w:val="nil"/>
              <w:bottom w:val="nil"/>
              <w:right w:val="nil"/>
            </w:tcBorders>
            <w:shd w:val="clear" w:color="auto" w:fill="auto"/>
            <w:noWrap/>
            <w:vAlign w:val="center"/>
            <w:hideMark/>
          </w:tcPr>
          <w:p w14:paraId="12EC7E15" w14:textId="7075A7C5" w:rsidR="00B66BA5" w:rsidRPr="005E4085" w:rsidRDefault="00B66BA5" w:rsidP="00B66BA5">
            <w:pPr>
              <w:jc w:val="center"/>
              <w:rPr>
                <w:rFonts w:eastAsia="Times New Roman" w:cs="Times New Roman"/>
                <w:b/>
                <w:bCs/>
                <w:color w:val="000000"/>
                <w:sz w:val="18"/>
                <w:szCs w:val="18"/>
                <w:lang w:eastAsia="es-GT"/>
              </w:rPr>
            </w:pPr>
            <w:r>
              <w:rPr>
                <w:b/>
                <w:bCs/>
                <w:color w:val="000000"/>
                <w:sz w:val="18"/>
                <w:szCs w:val="18"/>
              </w:rPr>
              <w:t>38,998.2</w:t>
            </w:r>
          </w:p>
        </w:tc>
        <w:tc>
          <w:tcPr>
            <w:tcW w:w="945" w:type="dxa"/>
            <w:tcBorders>
              <w:top w:val="nil"/>
              <w:left w:val="dotDash" w:sz="4" w:space="0" w:color="auto"/>
              <w:bottom w:val="nil"/>
              <w:right w:val="nil"/>
            </w:tcBorders>
            <w:shd w:val="clear" w:color="auto" w:fill="auto"/>
            <w:noWrap/>
            <w:vAlign w:val="center"/>
            <w:hideMark/>
          </w:tcPr>
          <w:p w14:paraId="15AD9957" w14:textId="0A50AF64" w:rsidR="00B66BA5" w:rsidRPr="005E4085" w:rsidRDefault="00B66BA5" w:rsidP="00B66BA5">
            <w:pPr>
              <w:jc w:val="center"/>
              <w:rPr>
                <w:rFonts w:eastAsia="Times New Roman" w:cs="Times New Roman"/>
                <w:b/>
                <w:bCs/>
                <w:color w:val="000000"/>
                <w:sz w:val="18"/>
                <w:szCs w:val="18"/>
                <w:lang w:eastAsia="es-GT"/>
              </w:rPr>
            </w:pPr>
            <w:r>
              <w:rPr>
                <w:b/>
                <w:bCs/>
                <w:color w:val="000000"/>
                <w:sz w:val="18"/>
                <w:szCs w:val="18"/>
              </w:rPr>
              <w:t>7,676.1</w:t>
            </w:r>
          </w:p>
        </w:tc>
        <w:tc>
          <w:tcPr>
            <w:tcW w:w="911" w:type="dxa"/>
            <w:tcBorders>
              <w:top w:val="nil"/>
              <w:left w:val="nil"/>
              <w:bottom w:val="nil"/>
              <w:right w:val="nil"/>
            </w:tcBorders>
            <w:shd w:val="clear" w:color="auto" w:fill="auto"/>
            <w:noWrap/>
            <w:vAlign w:val="center"/>
            <w:hideMark/>
          </w:tcPr>
          <w:p w14:paraId="3FE04A70" w14:textId="4A5C3A8B" w:rsidR="00B66BA5" w:rsidRPr="005E4085" w:rsidRDefault="00B66BA5" w:rsidP="00B66BA5">
            <w:pPr>
              <w:jc w:val="center"/>
              <w:rPr>
                <w:rFonts w:eastAsia="Times New Roman" w:cs="Times New Roman"/>
                <w:b/>
                <w:bCs/>
                <w:color w:val="000000"/>
                <w:sz w:val="18"/>
                <w:szCs w:val="18"/>
                <w:lang w:eastAsia="es-GT"/>
              </w:rPr>
            </w:pPr>
            <w:r>
              <w:rPr>
                <w:b/>
                <w:bCs/>
                <w:color w:val="000000"/>
                <w:sz w:val="18"/>
                <w:szCs w:val="18"/>
              </w:rPr>
              <w:t>24.5</w:t>
            </w:r>
          </w:p>
        </w:tc>
      </w:tr>
      <w:tr w:rsidR="00B66BA5" w:rsidRPr="00844F46" w14:paraId="4FEC7DF9" w14:textId="77777777" w:rsidTr="002700BC">
        <w:trPr>
          <w:trHeight w:val="255"/>
          <w:jc w:val="center"/>
        </w:trPr>
        <w:tc>
          <w:tcPr>
            <w:tcW w:w="3467" w:type="dxa"/>
            <w:tcBorders>
              <w:top w:val="nil"/>
              <w:left w:val="nil"/>
              <w:bottom w:val="nil"/>
              <w:right w:val="nil"/>
            </w:tcBorders>
            <w:shd w:val="clear" w:color="auto" w:fill="auto"/>
            <w:noWrap/>
            <w:vAlign w:val="center"/>
            <w:hideMark/>
          </w:tcPr>
          <w:p w14:paraId="502B4F84" w14:textId="77777777" w:rsidR="00B66BA5" w:rsidRPr="00844F46" w:rsidRDefault="00B66BA5" w:rsidP="00B66BA5">
            <w:pPr>
              <w:ind w:firstLineChars="100" w:firstLine="180"/>
              <w:jc w:val="left"/>
              <w:rPr>
                <w:rFonts w:eastAsia="Times New Roman" w:cs="Times New Roman"/>
                <w:color w:val="000000"/>
                <w:sz w:val="18"/>
                <w:szCs w:val="18"/>
                <w:lang w:eastAsia="es-GT"/>
              </w:rPr>
            </w:pPr>
            <w:r w:rsidRPr="00844F46">
              <w:rPr>
                <w:rFonts w:eastAsia="Times New Roman" w:cs="Times New Roman"/>
                <w:color w:val="000000"/>
                <w:sz w:val="18"/>
                <w:szCs w:val="18"/>
                <w:lang w:eastAsia="es-GT"/>
              </w:rPr>
              <w:t>Impuestos</w:t>
            </w:r>
          </w:p>
        </w:tc>
        <w:tc>
          <w:tcPr>
            <w:tcW w:w="945" w:type="dxa"/>
            <w:tcBorders>
              <w:top w:val="nil"/>
              <w:left w:val="nil"/>
              <w:bottom w:val="nil"/>
              <w:right w:val="nil"/>
            </w:tcBorders>
            <w:shd w:val="clear" w:color="auto" w:fill="auto"/>
            <w:noWrap/>
            <w:vAlign w:val="center"/>
            <w:hideMark/>
          </w:tcPr>
          <w:p w14:paraId="28964954" w14:textId="372BA07B" w:rsidR="00B66BA5" w:rsidRPr="005E4085" w:rsidRDefault="00B66BA5" w:rsidP="00B66BA5">
            <w:pPr>
              <w:jc w:val="center"/>
              <w:rPr>
                <w:rFonts w:eastAsia="Times New Roman" w:cs="Times New Roman"/>
                <w:color w:val="000000"/>
                <w:sz w:val="18"/>
                <w:szCs w:val="18"/>
                <w:lang w:eastAsia="es-GT"/>
              </w:rPr>
            </w:pPr>
            <w:r>
              <w:rPr>
                <w:color w:val="000000"/>
                <w:sz w:val="18"/>
                <w:szCs w:val="18"/>
              </w:rPr>
              <w:t>28,198.1</w:t>
            </w:r>
          </w:p>
        </w:tc>
        <w:tc>
          <w:tcPr>
            <w:tcW w:w="945" w:type="dxa"/>
            <w:tcBorders>
              <w:top w:val="nil"/>
              <w:left w:val="nil"/>
              <w:bottom w:val="nil"/>
              <w:right w:val="nil"/>
            </w:tcBorders>
            <w:shd w:val="clear" w:color="auto" w:fill="auto"/>
            <w:noWrap/>
            <w:vAlign w:val="center"/>
            <w:hideMark/>
          </w:tcPr>
          <w:p w14:paraId="2887F535" w14:textId="00A5AD52" w:rsidR="00B66BA5" w:rsidRPr="005E4085" w:rsidRDefault="00B66BA5" w:rsidP="00B66BA5">
            <w:pPr>
              <w:jc w:val="center"/>
              <w:rPr>
                <w:rFonts w:eastAsia="Times New Roman" w:cs="Times New Roman"/>
                <w:color w:val="000000"/>
                <w:sz w:val="18"/>
                <w:szCs w:val="18"/>
                <w:lang w:eastAsia="es-GT"/>
              </w:rPr>
            </w:pPr>
            <w:r>
              <w:rPr>
                <w:color w:val="000000"/>
                <w:sz w:val="18"/>
                <w:szCs w:val="18"/>
              </w:rPr>
              <w:t>35,631.5</w:t>
            </w:r>
          </w:p>
        </w:tc>
        <w:tc>
          <w:tcPr>
            <w:tcW w:w="945" w:type="dxa"/>
            <w:tcBorders>
              <w:top w:val="nil"/>
              <w:left w:val="dotDash" w:sz="4" w:space="0" w:color="auto"/>
              <w:bottom w:val="nil"/>
              <w:right w:val="nil"/>
            </w:tcBorders>
            <w:shd w:val="clear" w:color="auto" w:fill="auto"/>
            <w:noWrap/>
            <w:vAlign w:val="center"/>
            <w:hideMark/>
          </w:tcPr>
          <w:p w14:paraId="02D6B5FE" w14:textId="0F4477D8" w:rsidR="00B66BA5" w:rsidRPr="005E4085" w:rsidRDefault="00B66BA5" w:rsidP="00B66BA5">
            <w:pPr>
              <w:jc w:val="center"/>
              <w:rPr>
                <w:rFonts w:eastAsia="Times New Roman" w:cs="Times New Roman"/>
                <w:color w:val="000000"/>
                <w:sz w:val="18"/>
                <w:szCs w:val="18"/>
                <w:lang w:eastAsia="es-GT"/>
              </w:rPr>
            </w:pPr>
            <w:r>
              <w:rPr>
                <w:color w:val="000000"/>
                <w:sz w:val="18"/>
                <w:szCs w:val="18"/>
              </w:rPr>
              <w:t>7,433.4</w:t>
            </w:r>
          </w:p>
        </w:tc>
        <w:tc>
          <w:tcPr>
            <w:tcW w:w="911" w:type="dxa"/>
            <w:tcBorders>
              <w:top w:val="nil"/>
              <w:left w:val="nil"/>
              <w:bottom w:val="nil"/>
              <w:right w:val="nil"/>
            </w:tcBorders>
            <w:shd w:val="clear" w:color="auto" w:fill="auto"/>
            <w:noWrap/>
            <w:vAlign w:val="center"/>
            <w:hideMark/>
          </w:tcPr>
          <w:p w14:paraId="02108C8C" w14:textId="7DD7E464" w:rsidR="00B66BA5" w:rsidRPr="005E4085" w:rsidRDefault="00B66BA5" w:rsidP="00B66BA5">
            <w:pPr>
              <w:jc w:val="center"/>
              <w:rPr>
                <w:rFonts w:eastAsia="Times New Roman" w:cs="Times New Roman"/>
                <w:color w:val="000000"/>
                <w:sz w:val="18"/>
                <w:szCs w:val="18"/>
                <w:lang w:eastAsia="es-GT"/>
              </w:rPr>
            </w:pPr>
            <w:r>
              <w:rPr>
                <w:color w:val="000000"/>
                <w:sz w:val="18"/>
                <w:szCs w:val="18"/>
              </w:rPr>
              <w:t>26.4</w:t>
            </w:r>
          </w:p>
        </w:tc>
      </w:tr>
      <w:tr w:rsidR="00B66BA5" w:rsidRPr="00844F46" w14:paraId="297E40E0" w14:textId="77777777" w:rsidTr="002700BC">
        <w:trPr>
          <w:trHeight w:val="255"/>
          <w:jc w:val="center"/>
        </w:trPr>
        <w:tc>
          <w:tcPr>
            <w:tcW w:w="3467" w:type="dxa"/>
            <w:tcBorders>
              <w:top w:val="nil"/>
              <w:left w:val="nil"/>
              <w:bottom w:val="nil"/>
              <w:right w:val="nil"/>
            </w:tcBorders>
            <w:shd w:val="clear" w:color="auto" w:fill="auto"/>
            <w:noWrap/>
            <w:vAlign w:val="center"/>
            <w:hideMark/>
          </w:tcPr>
          <w:p w14:paraId="3EA9A340" w14:textId="77777777" w:rsidR="00B66BA5" w:rsidRPr="00844F46" w:rsidRDefault="00B66BA5" w:rsidP="00B66BA5">
            <w:pPr>
              <w:ind w:firstLineChars="100" w:firstLine="180"/>
              <w:jc w:val="left"/>
              <w:rPr>
                <w:rFonts w:eastAsia="Times New Roman" w:cs="Times New Roman"/>
                <w:color w:val="000000"/>
                <w:sz w:val="18"/>
                <w:szCs w:val="18"/>
                <w:lang w:eastAsia="es-GT"/>
              </w:rPr>
            </w:pPr>
            <w:r w:rsidRPr="00844F46">
              <w:rPr>
                <w:rFonts w:eastAsia="Times New Roman" w:cs="Times New Roman"/>
                <w:color w:val="000000"/>
                <w:sz w:val="18"/>
                <w:szCs w:val="18"/>
                <w:lang w:eastAsia="es-GT"/>
              </w:rPr>
              <w:t xml:space="preserve">Contribuciones sociales </w:t>
            </w:r>
          </w:p>
        </w:tc>
        <w:tc>
          <w:tcPr>
            <w:tcW w:w="945" w:type="dxa"/>
            <w:tcBorders>
              <w:top w:val="nil"/>
              <w:left w:val="nil"/>
              <w:bottom w:val="nil"/>
              <w:right w:val="nil"/>
            </w:tcBorders>
            <w:shd w:val="clear" w:color="auto" w:fill="auto"/>
            <w:noWrap/>
            <w:vAlign w:val="center"/>
            <w:hideMark/>
          </w:tcPr>
          <w:p w14:paraId="0CE8B2BB" w14:textId="69B7C115" w:rsidR="00B66BA5" w:rsidRPr="005E4085" w:rsidRDefault="00B66BA5" w:rsidP="00B66BA5">
            <w:pPr>
              <w:jc w:val="center"/>
              <w:rPr>
                <w:rFonts w:eastAsia="Times New Roman" w:cs="Times New Roman"/>
                <w:color w:val="000000"/>
                <w:sz w:val="18"/>
                <w:szCs w:val="18"/>
                <w:lang w:eastAsia="es-GT"/>
              </w:rPr>
            </w:pPr>
            <w:r>
              <w:rPr>
                <w:color w:val="000000"/>
                <w:sz w:val="18"/>
                <w:szCs w:val="18"/>
              </w:rPr>
              <w:t>2,235.9</w:t>
            </w:r>
          </w:p>
        </w:tc>
        <w:tc>
          <w:tcPr>
            <w:tcW w:w="945" w:type="dxa"/>
            <w:tcBorders>
              <w:top w:val="nil"/>
              <w:left w:val="nil"/>
              <w:bottom w:val="nil"/>
              <w:right w:val="nil"/>
            </w:tcBorders>
            <w:shd w:val="clear" w:color="auto" w:fill="auto"/>
            <w:noWrap/>
            <w:vAlign w:val="center"/>
            <w:hideMark/>
          </w:tcPr>
          <w:p w14:paraId="561D79A9" w14:textId="7C23FB63" w:rsidR="00B66BA5" w:rsidRPr="005E4085" w:rsidRDefault="00B66BA5" w:rsidP="00B66BA5">
            <w:pPr>
              <w:jc w:val="center"/>
              <w:rPr>
                <w:rFonts w:eastAsia="Times New Roman" w:cs="Times New Roman"/>
                <w:color w:val="000000"/>
                <w:sz w:val="18"/>
                <w:szCs w:val="18"/>
                <w:lang w:eastAsia="es-GT"/>
              </w:rPr>
            </w:pPr>
            <w:r>
              <w:rPr>
                <w:color w:val="000000"/>
                <w:sz w:val="18"/>
                <w:szCs w:val="18"/>
              </w:rPr>
              <w:t>2,316.0</w:t>
            </w:r>
          </w:p>
        </w:tc>
        <w:tc>
          <w:tcPr>
            <w:tcW w:w="945" w:type="dxa"/>
            <w:tcBorders>
              <w:top w:val="nil"/>
              <w:left w:val="dotDash" w:sz="4" w:space="0" w:color="auto"/>
              <w:bottom w:val="nil"/>
              <w:right w:val="nil"/>
            </w:tcBorders>
            <w:shd w:val="clear" w:color="auto" w:fill="auto"/>
            <w:noWrap/>
            <w:vAlign w:val="center"/>
            <w:hideMark/>
          </w:tcPr>
          <w:p w14:paraId="43D13E68" w14:textId="6482E8C8" w:rsidR="00B66BA5" w:rsidRPr="005E4085" w:rsidRDefault="00B66BA5" w:rsidP="00B66BA5">
            <w:pPr>
              <w:jc w:val="center"/>
              <w:rPr>
                <w:rFonts w:eastAsia="Times New Roman" w:cs="Times New Roman"/>
                <w:color w:val="000000"/>
                <w:sz w:val="18"/>
                <w:szCs w:val="18"/>
                <w:lang w:eastAsia="es-GT"/>
              </w:rPr>
            </w:pPr>
            <w:r>
              <w:rPr>
                <w:color w:val="000000"/>
                <w:sz w:val="18"/>
                <w:szCs w:val="18"/>
              </w:rPr>
              <w:t>80.1</w:t>
            </w:r>
          </w:p>
        </w:tc>
        <w:tc>
          <w:tcPr>
            <w:tcW w:w="911" w:type="dxa"/>
            <w:tcBorders>
              <w:top w:val="nil"/>
              <w:left w:val="nil"/>
              <w:bottom w:val="nil"/>
              <w:right w:val="nil"/>
            </w:tcBorders>
            <w:shd w:val="clear" w:color="auto" w:fill="auto"/>
            <w:noWrap/>
            <w:vAlign w:val="center"/>
            <w:hideMark/>
          </w:tcPr>
          <w:p w14:paraId="4D53F8D7" w14:textId="7F5FCF7C" w:rsidR="00B66BA5" w:rsidRPr="005E4085" w:rsidRDefault="00B66BA5" w:rsidP="00B66BA5">
            <w:pPr>
              <w:jc w:val="center"/>
              <w:rPr>
                <w:rFonts w:eastAsia="Times New Roman" w:cs="Times New Roman"/>
                <w:color w:val="000000"/>
                <w:sz w:val="18"/>
                <w:szCs w:val="18"/>
                <w:lang w:eastAsia="es-GT"/>
              </w:rPr>
            </w:pPr>
            <w:r>
              <w:rPr>
                <w:color w:val="000000"/>
                <w:sz w:val="18"/>
                <w:szCs w:val="18"/>
              </w:rPr>
              <w:t>3.6</w:t>
            </w:r>
          </w:p>
        </w:tc>
      </w:tr>
      <w:tr w:rsidR="00B66BA5" w:rsidRPr="00844F46" w14:paraId="000DC059" w14:textId="77777777" w:rsidTr="002700BC">
        <w:trPr>
          <w:trHeight w:val="255"/>
          <w:jc w:val="center"/>
        </w:trPr>
        <w:tc>
          <w:tcPr>
            <w:tcW w:w="3467" w:type="dxa"/>
            <w:tcBorders>
              <w:top w:val="nil"/>
              <w:left w:val="nil"/>
              <w:bottom w:val="nil"/>
              <w:right w:val="nil"/>
            </w:tcBorders>
            <w:shd w:val="clear" w:color="auto" w:fill="auto"/>
            <w:noWrap/>
            <w:vAlign w:val="center"/>
            <w:hideMark/>
          </w:tcPr>
          <w:p w14:paraId="6B8B9303" w14:textId="77777777" w:rsidR="00B66BA5" w:rsidRPr="00844F46" w:rsidRDefault="00B66BA5" w:rsidP="00B66BA5">
            <w:pPr>
              <w:ind w:firstLineChars="100" w:firstLine="180"/>
              <w:jc w:val="left"/>
              <w:rPr>
                <w:rFonts w:eastAsia="Times New Roman" w:cs="Times New Roman"/>
                <w:color w:val="000000"/>
                <w:sz w:val="18"/>
                <w:szCs w:val="18"/>
                <w:lang w:eastAsia="es-GT"/>
              </w:rPr>
            </w:pPr>
            <w:r w:rsidRPr="00844F46">
              <w:rPr>
                <w:rFonts w:eastAsia="Times New Roman" w:cs="Times New Roman"/>
                <w:color w:val="000000"/>
                <w:sz w:val="18"/>
                <w:szCs w:val="18"/>
                <w:lang w:eastAsia="es-GT"/>
              </w:rPr>
              <w:t>Donaciones</w:t>
            </w:r>
          </w:p>
        </w:tc>
        <w:tc>
          <w:tcPr>
            <w:tcW w:w="945" w:type="dxa"/>
            <w:tcBorders>
              <w:top w:val="nil"/>
              <w:left w:val="nil"/>
              <w:bottom w:val="nil"/>
              <w:right w:val="nil"/>
            </w:tcBorders>
            <w:shd w:val="clear" w:color="auto" w:fill="auto"/>
            <w:noWrap/>
            <w:vAlign w:val="center"/>
            <w:hideMark/>
          </w:tcPr>
          <w:p w14:paraId="6493B86C" w14:textId="51A3947C" w:rsidR="00B66BA5" w:rsidRPr="005E4085" w:rsidRDefault="00B66BA5" w:rsidP="00B66BA5">
            <w:pPr>
              <w:jc w:val="center"/>
              <w:rPr>
                <w:rFonts w:eastAsia="Times New Roman" w:cs="Times New Roman"/>
                <w:color w:val="000000"/>
                <w:sz w:val="18"/>
                <w:szCs w:val="18"/>
                <w:lang w:eastAsia="es-GT"/>
              </w:rPr>
            </w:pPr>
            <w:r>
              <w:rPr>
                <w:color w:val="000000"/>
                <w:sz w:val="18"/>
                <w:szCs w:val="18"/>
              </w:rPr>
              <w:t>17.5</w:t>
            </w:r>
          </w:p>
        </w:tc>
        <w:tc>
          <w:tcPr>
            <w:tcW w:w="945" w:type="dxa"/>
            <w:tcBorders>
              <w:top w:val="nil"/>
              <w:left w:val="nil"/>
              <w:bottom w:val="nil"/>
              <w:right w:val="nil"/>
            </w:tcBorders>
            <w:shd w:val="clear" w:color="auto" w:fill="auto"/>
            <w:noWrap/>
            <w:vAlign w:val="center"/>
            <w:hideMark/>
          </w:tcPr>
          <w:p w14:paraId="1216FB74" w14:textId="6CABFD16" w:rsidR="00B66BA5" w:rsidRPr="005E4085" w:rsidRDefault="00B66BA5" w:rsidP="00B66BA5">
            <w:pPr>
              <w:jc w:val="center"/>
              <w:rPr>
                <w:rFonts w:eastAsia="Times New Roman" w:cs="Times New Roman"/>
                <w:color w:val="000000"/>
                <w:sz w:val="18"/>
                <w:szCs w:val="18"/>
                <w:lang w:eastAsia="es-GT"/>
              </w:rPr>
            </w:pPr>
            <w:r>
              <w:rPr>
                <w:color w:val="000000"/>
                <w:sz w:val="18"/>
                <w:szCs w:val="18"/>
              </w:rPr>
              <w:t>76.1</w:t>
            </w:r>
          </w:p>
        </w:tc>
        <w:tc>
          <w:tcPr>
            <w:tcW w:w="945" w:type="dxa"/>
            <w:tcBorders>
              <w:top w:val="nil"/>
              <w:left w:val="dotDash" w:sz="4" w:space="0" w:color="auto"/>
              <w:bottom w:val="nil"/>
              <w:right w:val="nil"/>
            </w:tcBorders>
            <w:shd w:val="clear" w:color="auto" w:fill="auto"/>
            <w:noWrap/>
            <w:vAlign w:val="center"/>
            <w:hideMark/>
          </w:tcPr>
          <w:p w14:paraId="16B93A0E" w14:textId="6A6578FB" w:rsidR="00B66BA5" w:rsidRPr="005E4085" w:rsidRDefault="00B66BA5" w:rsidP="00B66BA5">
            <w:pPr>
              <w:jc w:val="center"/>
              <w:rPr>
                <w:rFonts w:eastAsia="Times New Roman" w:cs="Times New Roman"/>
                <w:color w:val="000000"/>
                <w:sz w:val="18"/>
                <w:szCs w:val="18"/>
                <w:lang w:eastAsia="es-GT"/>
              </w:rPr>
            </w:pPr>
            <w:r>
              <w:rPr>
                <w:color w:val="000000"/>
                <w:sz w:val="18"/>
                <w:szCs w:val="18"/>
              </w:rPr>
              <w:t>58.5</w:t>
            </w:r>
          </w:p>
        </w:tc>
        <w:tc>
          <w:tcPr>
            <w:tcW w:w="911" w:type="dxa"/>
            <w:tcBorders>
              <w:top w:val="nil"/>
              <w:left w:val="nil"/>
              <w:bottom w:val="nil"/>
              <w:right w:val="nil"/>
            </w:tcBorders>
            <w:shd w:val="clear" w:color="auto" w:fill="auto"/>
            <w:noWrap/>
            <w:vAlign w:val="center"/>
            <w:hideMark/>
          </w:tcPr>
          <w:p w14:paraId="5AF4E54E" w14:textId="79A898CD" w:rsidR="00B66BA5" w:rsidRPr="005E4085" w:rsidRDefault="00B66BA5" w:rsidP="00B66BA5">
            <w:pPr>
              <w:jc w:val="center"/>
              <w:rPr>
                <w:rFonts w:eastAsia="Times New Roman" w:cs="Times New Roman"/>
                <w:color w:val="000000"/>
                <w:sz w:val="18"/>
                <w:szCs w:val="18"/>
                <w:lang w:eastAsia="es-GT"/>
              </w:rPr>
            </w:pPr>
            <w:r>
              <w:rPr>
                <w:color w:val="000000"/>
                <w:sz w:val="18"/>
                <w:szCs w:val="18"/>
              </w:rPr>
              <w:t>333.6</w:t>
            </w:r>
          </w:p>
        </w:tc>
      </w:tr>
      <w:tr w:rsidR="00B66BA5" w:rsidRPr="00844F46" w14:paraId="7478AF33" w14:textId="77777777" w:rsidTr="002700BC">
        <w:trPr>
          <w:trHeight w:val="255"/>
          <w:jc w:val="center"/>
        </w:trPr>
        <w:tc>
          <w:tcPr>
            <w:tcW w:w="3467" w:type="dxa"/>
            <w:tcBorders>
              <w:top w:val="nil"/>
              <w:left w:val="nil"/>
              <w:bottom w:val="nil"/>
              <w:right w:val="nil"/>
            </w:tcBorders>
            <w:shd w:val="clear" w:color="auto" w:fill="auto"/>
            <w:noWrap/>
            <w:vAlign w:val="center"/>
            <w:hideMark/>
          </w:tcPr>
          <w:p w14:paraId="2A98D619" w14:textId="77777777" w:rsidR="00B66BA5" w:rsidRPr="00844F46" w:rsidRDefault="00B66BA5" w:rsidP="00B66BA5">
            <w:pPr>
              <w:ind w:firstLineChars="100" w:firstLine="180"/>
              <w:jc w:val="left"/>
              <w:rPr>
                <w:rFonts w:eastAsia="Times New Roman" w:cs="Times New Roman"/>
                <w:color w:val="000000"/>
                <w:sz w:val="18"/>
                <w:szCs w:val="18"/>
                <w:lang w:eastAsia="es-GT"/>
              </w:rPr>
            </w:pPr>
            <w:r w:rsidRPr="00844F46">
              <w:rPr>
                <w:rFonts w:eastAsia="Times New Roman" w:cs="Times New Roman"/>
                <w:color w:val="000000"/>
                <w:sz w:val="18"/>
                <w:szCs w:val="18"/>
                <w:lang w:eastAsia="es-GT"/>
              </w:rPr>
              <w:t xml:space="preserve">Otros ingresos </w:t>
            </w:r>
          </w:p>
        </w:tc>
        <w:tc>
          <w:tcPr>
            <w:tcW w:w="945" w:type="dxa"/>
            <w:tcBorders>
              <w:top w:val="nil"/>
              <w:left w:val="nil"/>
              <w:bottom w:val="nil"/>
              <w:right w:val="nil"/>
            </w:tcBorders>
            <w:shd w:val="clear" w:color="auto" w:fill="auto"/>
            <w:noWrap/>
            <w:vAlign w:val="center"/>
            <w:hideMark/>
          </w:tcPr>
          <w:p w14:paraId="445A46AA" w14:textId="59947530" w:rsidR="00B66BA5" w:rsidRPr="005E4085" w:rsidRDefault="00B66BA5" w:rsidP="00B66BA5">
            <w:pPr>
              <w:jc w:val="center"/>
              <w:rPr>
                <w:rFonts w:eastAsia="Times New Roman" w:cs="Times New Roman"/>
                <w:color w:val="000000"/>
                <w:sz w:val="18"/>
                <w:szCs w:val="18"/>
                <w:lang w:eastAsia="es-GT"/>
              </w:rPr>
            </w:pPr>
            <w:r>
              <w:rPr>
                <w:color w:val="000000"/>
                <w:sz w:val="18"/>
                <w:szCs w:val="18"/>
              </w:rPr>
              <w:t>870.4</w:t>
            </w:r>
          </w:p>
        </w:tc>
        <w:tc>
          <w:tcPr>
            <w:tcW w:w="945" w:type="dxa"/>
            <w:tcBorders>
              <w:top w:val="nil"/>
              <w:left w:val="nil"/>
              <w:bottom w:val="nil"/>
              <w:right w:val="nil"/>
            </w:tcBorders>
            <w:shd w:val="clear" w:color="auto" w:fill="auto"/>
            <w:noWrap/>
            <w:vAlign w:val="center"/>
            <w:hideMark/>
          </w:tcPr>
          <w:p w14:paraId="5655B71B" w14:textId="26906A5B" w:rsidR="00B66BA5" w:rsidRPr="005E4085" w:rsidRDefault="00B66BA5" w:rsidP="00B66BA5">
            <w:pPr>
              <w:jc w:val="center"/>
              <w:rPr>
                <w:rFonts w:eastAsia="Times New Roman" w:cs="Times New Roman"/>
                <w:color w:val="000000"/>
                <w:sz w:val="18"/>
                <w:szCs w:val="18"/>
                <w:lang w:eastAsia="es-GT"/>
              </w:rPr>
            </w:pPr>
            <w:r>
              <w:rPr>
                <w:color w:val="000000"/>
                <w:sz w:val="18"/>
                <w:szCs w:val="18"/>
              </w:rPr>
              <w:t>974.6</w:t>
            </w:r>
          </w:p>
        </w:tc>
        <w:tc>
          <w:tcPr>
            <w:tcW w:w="945" w:type="dxa"/>
            <w:tcBorders>
              <w:top w:val="nil"/>
              <w:left w:val="dotDash" w:sz="4" w:space="0" w:color="auto"/>
              <w:bottom w:val="nil"/>
              <w:right w:val="nil"/>
            </w:tcBorders>
            <w:shd w:val="clear" w:color="auto" w:fill="auto"/>
            <w:noWrap/>
            <w:vAlign w:val="center"/>
            <w:hideMark/>
          </w:tcPr>
          <w:p w14:paraId="315E6E5C" w14:textId="5891AC23" w:rsidR="00B66BA5" w:rsidRPr="005E4085" w:rsidRDefault="00B66BA5" w:rsidP="00B66BA5">
            <w:pPr>
              <w:jc w:val="center"/>
              <w:rPr>
                <w:rFonts w:eastAsia="Times New Roman" w:cs="Times New Roman"/>
                <w:color w:val="000000"/>
                <w:sz w:val="18"/>
                <w:szCs w:val="18"/>
                <w:lang w:eastAsia="es-GT"/>
              </w:rPr>
            </w:pPr>
            <w:r>
              <w:rPr>
                <w:color w:val="000000"/>
                <w:sz w:val="18"/>
                <w:szCs w:val="18"/>
              </w:rPr>
              <w:t>104.1</w:t>
            </w:r>
          </w:p>
        </w:tc>
        <w:tc>
          <w:tcPr>
            <w:tcW w:w="911" w:type="dxa"/>
            <w:tcBorders>
              <w:top w:val="nil"/>
              <w:left w:val="nil"/>
              <w:bottom w:val="nil"/>
              <w:right w:val="nil"/>
            </w:tcBorders>
            <w:shd w:val="clear" w:color="auto" w:fill="auto"/>
            <w:noWrap/>
            <w:vAlign w:val="center"/>
            <w:hideMark/>
          </w:tcPr>
          <w:p w14:paraId="0EBC9A50" w14:textId="0DFC5698" w:rsidR="00B66BA5" w:rsidRPr="005E4085" w:rsidRDefault="00B66BA5" w:rsidP="00B66BA5">
            <w:pPr>
              <w:jc w:val="center"/>
              <w:rPr>
                <w:rFonts w:eastAsia="Times New Roman" w:cs="Times New Roman"/>
                <w:color w:val="000000"/>
                <w:sz w:val="18"/>
                <w:szCs w:val="18"/>
                <w:lang w:eastAsia="es-GT"/>
              </w:rPr>
            </w:pPr>
            <w:r>
              <w:rPr>
                <w:color w:val="000000"/>
                <w:sz w:val="18"/>
                <w:szCs w:val="18"/>
              </w:rPr>
              <w:t>12.0</w:t>
            </w:r>
          </w:p>
        </w:tc>
      </w:tr>
      <w:tr w:rsidR="00B66BA5" w:rsidRPr="00844F46" w14:paraId="40B39911" w14:textId="77777777" w:rsidTr="002700BC">
        <w:trPr>
          <w:trHeight w:val="255"/>
          <w:jc w:val="center"/>
        </w:trPr>
        <w:tc>
          <w:tcPr>
            <w:tcW w:w="3467" w:type="dxa"/>
            <w:tcBorders>
              <w:top w:val="nil"/>
              <w:left w:val="nil"/>
              <w:bottom w:val="nil"/>
              <w:right w:val="nil"/>
            </w:tcBorders>
            <w:shd w:val="clear" w:color="auto" w:fill="auto"/>
            <w:noWrap/>
            <w:vAlign w:val="center"/>
            <w:hideMark/>
          </w:tcPr>
          <w:p w14:paraId="54E623F3" w14:textId="77777777" w:rsidR="00B66BA5" w:rsidRPr="005E4085" w:rsidRDefault="00B66BA5" w:rsidP="00B66BA5">
            <w:pPr>
              <w:rPr>
                <w:rFonts w:eastAsia="Times New Roman" w:cs="Times New Roman"/>
                <w:b/>
                <w:bCs/>
                <w:color w:val="000000"/>
                <w:sz w:val="18"/>
                <w:szCs w:val="18"/>
                <w:lang w:eastAsia="es-GT"/>
              </w:rPr>
            </w:pPr>
            <w:r w:rsidRPr="005E4085">
              <w:rPr>
                <w:rFonts w:eastAsia="Times New Roman" w:cs="Times New Roman"/>
                <w:b/>
                <w:bCs/>
                <w:color w:val="000000"/>
                <w:sz w:val="18"/>
                <w:szCs w:val="18"/>
                <w:lang w:eastAsia="es-GT"/>
              </w:rPr>
              <w:t>GASTO</w:t>
            </w:r>
          </w:p>
        </w:tc>
        <w:tc>
          <w:tcPr>
            <w:tcW w:w="945" w:type="dxa"/>
            <w:tcBorders>
              <w:top w:val="nil"/>
              <w:left w:val="nil"/>
              <w:bottom w:val="nil"/>
              <w:right w:val="nil"/>
            </w:tcBorders>
            <w:shd w:val="clear" w:color="auto" w:fill="auto"/>
            <w:noWrap/>
            <w:vAlign w:val="center"/>
            <w:hideMark/>
          </w:tcPr>
          <w:p w14:paraId="1BFDF4D3" w14:textId="2B03BF01" w:rsidR="00B66BA5" w:rsidRPr="005E4085" w:rsidRDefault="00B66BA5" w:rsidP="00B66BA5">
            <w:pPr>
              <w:jc w:val="center"/>
              <w:rPr>
                <w:rFonts w:eastAsia="Times New Roman" w:cs="Times New Roman"/>
                <w:b/>
                <w:bCs/>
                <w:color w:val="000000"/>
                <w:sz w:val="18"/>
                <w:szCs w:val="18"/>
                <w:lang w:eastAsia="es-GT"/>
              </w:rPr>
            </w:pPr>
            <w:r>
              <w:rPr>
                <w:b/>
                <w:bCs/>
                <w:color w:val="000000"/>
                <w:sz w:val="18"/>
                <w:szCs w:val="18"/>
              </w:rPr>
              <w:t>37,890.2</w:t>
            </w:r>
          </w:p>
        </w:tc>
        <w:tc>
          <w:tcPr>
            <w:tcW w:w="945" w:type="dxa"/>
            <w:tcBorders>
              <w:top w:val="nil"/>
              <w:left w:val="nil"/>
              <w:bottom w:val="nil"/>
              <w:right w:val="nil"/>
            </w:tcBorders>
            <w:shd w:val="clear" w:color="auto" w:fill="auto"/>
            <w:noWrap/>
            <w:vAlign w:val="center"/>
            <w:hideMark/>
          </w:tcPr>
          <w:p w14:paraId="78A60A6E" w14:textId="6312E97D" w:rsidR="00B66BA5" w:rsidRPr="005E4085" w:rsidRDefault="00B66BA5" w:rsidP="00B66BA5">
            <w:pPr>
              <w:jc w:val="center"/>
              <w:rPr>
                <w:rFonts w:eastAsia="Times New Roman" w:cs="Times New Roman"/>
                <w:b/>
                <w:bCs/>
                <w:color w:val="000000"/>
                <w:sz w:val="18"/>
                <w:szCs w:val="18"/>
                <w:lang w:eastAsia="es-GT"/>
              </w:rPr>
            </w:pPr>
            <w:r>
              <w:rPr>
                <w:b/>
                <w:bCs/>
                <w:color w:val="000000"/>
                <w:sz w:val="18"/>
                <w:szCs w:val="18"/>
              </w:rPr>
              <w:t>39,409.5</w:t>
            </w:r>
          </w:p>
        </w:tc>
        <w:tc>
          <w:tcPr>
            <w:tcW w:w="945" w:type="dxa"/>
            <w:tcBorders>
              <w:top w:val="nil"/>
              <w:left w:val="dotDash" w:sz="4" w:space="0" w:color="auto"/>
              <w:bottom w:val="nil"/>
              <w:right w:val="nil"/>
            </w:tcBorders>
            <w:shd w:val="clear" w:color="auto" w:fill="auto"/>
            <w:noWrap/>
            <w:vAlign w:val="center"/>
            <w:hideMark/>
          </w:tcPr>
          <w:p w14:paraId="14EB1E9E" w14:textId="410C2710" w:rsidR="00B66BA5" w:rsidRPr="005E4085" w:rsidRDefault="00B66BA5" w:rsidP="00B66BA5">
            <w:pPr>
              <w:jc w:val="center"/>
              <w:rPr>
                <w:rFonts w:eastAsia="Times New Roman" w:cs="Times New Roman"/>
                <w:b/>
                <w:bCs/>
                <w:color w:val="000000"/>
                <w:sz w:val="18"/>
                <w:szCs w:val="18"/>
                <w:lang w:eastAsia="es-GT"/>
              </w:rPr>
            </w:pPr>
            <w:r>
              <w:rPr>
                <w:b/>
                <w:bCs/>
                <w:color w:val="000000"/>
                <w:sz w:val="18"/>
                <w:szCs w:val="18"/>
              </w:rPr>
              <w:t>1,519.3</w:t>
            </w:r>
          </w:p>
        </w:tc>
        <w:tc>
          <w:tcPr>
            <w:tcW w:w="911" w:type="dxa"/>
            <w:tcBorders>
              <w:top w:val="nil"/>
              <w:left w:val="nil"/>
              <w:bottom w:val="nil"/>
              <w:right w:val="nil"/>
            </w:tcBorders>
            <w:shd w:val="clear" w:color="auto" w:fill="auto"/>
            <w:noWrap/>
            <w:vAlign w:val="center"/>
            <w:hideMark/>
          </w:tcPr>
          <w:p w14:paraId="1B02423B" w14:textId="56DE0029" w:rsidR="00B66BA5" w:rsidRPr="005E4085" w:rsidRDefault="00B66BA5" w:rsidP="00B66BA5">
            <w:pPr>
              <w:jc w:val="center"/>
              <w:rPr>
                <w:rFonts w:eastAsia="Times New Roman" w:cs="Times New Roman"/>
                <w:b/>
                <w:bCs/>
                <w:color w:val="000000"/>
                <w:sz w:val="18"/>
                <w:szCs w:val="18"/>
                <w:lang w:eastAsia="es-GT"/>
              </w:rPr>
            </w:pPr>
            <w:r>
              <w:rPr>
                <w:b/>
                <w:bCs/>
                <w:color w:val="000000"/>
                <w:sz w:val="18"/>
                <w:szCs w:val="18"/>
              </w:rPr>
              <w:t>4.0</w:t>
            </w:r>
          </w:p>
        </w:tc>
      </w:tr>
      <w:tr w:rsidR="00B66BA5" w:rsidRPr="00844F46" w14:paraId="67333C8C" w14:textId="77777777" w:rsidTr="002700BC">
        <w:trPr>
          <w:trHeight w:val="255"/>
          <w:jc w:val="center"/>
        </w:trPr>
        <w:tc>
          <w:tcPr>
            <w:tcW w:w="3467" w:type="dxa"/>
            <w:tcBorders>
              <w:top w:val="nil"/>
              <w:left w:val="nil"/>
              <w:bottom w:val="nil"/>
              <w:right w:val="nil"/>
            </w:tcBorders>
            <w:shd w:val="clear" w:color="auto" w:fill="auto"/>
            <w:noWrap/>
            <w:vAlign w:val="center"/>
            <w:hideMark/>
          </w:tcPr>
          <w:p w14:paraId="4503ED87" w14:textId="77777777" w:rsidR="00B66BA5" w:rsidRPr="00844F46" w:rsidRDefault="00B66BA5" w:rsidP="00B66BA5">
            <w:pPr>
              <w:ind w:firstLineChars="100" w:firstLine="180"/>
              <w:jc w:val="left"/>
              <w:rPr>
                <w:rFonts w:eastAsia="Times New Roman" w:cs="Times New Roman"/>
                <w:color w:val="000000"/>
                <w:sz w:val="18"/>
                <w:szCs w:val="18"/>
                <w:lang w:eastAsia="es-GT"/>
              </w:rPr>
            </w:pPr>
            <w:r w:rsidRPr="00844F46">
              <w:rPr>
                <w:rFonts w:eastAsia="Times New Roman" w:cs="Times New Roman"/>
                <w:color w:val="000000"/>
                <w:sz w:val="18"/>
                <w:szCs w:val="18"/>
                <w:lang w:eastAsia="es-GT"/>
              </w:rPr>
              <w:t xml:space="preserve">Remuneración a los empleados </w:t>
            </w:r>
          </w:p>
        </w:tc>
        <w:tc>
          <w:tcPr>
            <w:tcW w:w="945" w:type="dxa"/>
            <w:tcBorders>
              <w:top w:val="nil"/>
              <w:left w:val="nil"/>
              <w:bottom w:val="nil"/>
              <w:right w:val="nil"/>
            </w:tcBorders>
            <w:shd w:val="clear" w:color="auto" w:fill="auto"/>
            <w:noWrap/>
            <w:vAlign w:val="center"/>
            <w:hideMark/>
          </w:tcPr>
          <w:p w14:paraId="42BC3167" w14:textId="5C0BAFBC" w:rsidR="00B66BA5" w:rsidRPr="005E4085" w:rsidRDefault="00B66BA5" w:rsidP="00B66BA5">
            <w:pPr>
              <w:jc w:val="center"/>
              <w:rPr>
                <w:rFonts w:eastAsia="Times New Roman" w:cs="Times New Roman"/>
                <w:color w:val="000000"/>
                <w:sz w:val="18"/>
                <w:szCs w:val="18"/>
                <w:lang w:eastAsia="es-GT"/>
              </w:rPr>
            </w:pPr>
            <w:r>
              <w:rPr>
                <w:color w:val="000000"/>
                <w:sz w:val="18"/>
                <w:szCs w:val="18"/>
              </w:rPr>
              <w:t>13,413.6</w:t>
            </w:r>
          </w:p>
        </w:tc>
        <w:tc>
          <w:tcPr>
            <w:tcW w:w="945" w:type="dxa"/>
            <w:tcBorders>
              <w:top w:val="nil"/>
              <w:left w:val="nil"/>
              <w:bottom w:val="nil"/>
              <w:right w:val="nil"/>
            </w:tcBorders>
            <w:shd w:val="clear" w:color="auto" w:fill="auto"/>
            <w:noWrap/>
            <w:vAlign w:val="center"/>
            <w:hideMark/>
          </w:tcPr>
          <w:p w14:paraId="48C022B2" w14:textId="0AA092D3" w:rsidR="00B66BA5" w:rsidRPr="005E4085" w:rsidRDefault="00B66BA5" w:rsidP="00B66BA5">
            <w:pPr>
              <w:jc w:val="center"/>
              <w:rPr>
                <w:rFonts w:eastAsia="Times New Roman" w:cs="Times New Roman"/>
                <w:color w:val="000000"/>
                <w:sz w:val="18"/>
                <w:szCs w:val="18"/>
                <w:lang w:eastAsia="es-GT"/>
              </w:rPr>
            </w:pPr>
            <w:r>
              <w:rPr>
                <w:color w:val="000000"/>
                <w:sz w:val="18"/>
                <w:szCs w:val="18"/>
              </w:rPr>
              <w:t>13,967.5</w:t>
            </w:r>
          </w:p>
        </w:tc>
        <w:tc>
          <w:tcPr>
            <w:tcW w:w="945" w:type="dxa"/>
            <w:tcBorders>
              <w:top w:val="nil"/>
              <w:left w:val="dotDash" w:sz="4" w:space="0" w:color="auto"/>
              <w:bottom w:val="nil"/>
              <w:right w:val="nil"/>
            </w:tcBorders>
            <w:shd w:val="clear" w:color="auto" w:fill="auto"/>
            <w:noWrap/>
            <w:vAlign w:val="center"/>
            <w:hideMark/>
          </w:tcPr>
          <w:p w14:paraId="0DFFDE2F" w14:textId="60201090" w:rsidR="00B66BA5" w:rsidRPr="005E4085" w:rsidRDefault="00B66BA5" w:rsidP="00B66BA5">
            <w:pPr>
              <w:jc w:val="center"/>
              <w:rPr>
                <w:rFonts w:eastAsia="Times New Roman" w:cs="Times New Roman"/>
                <w:color w:val="000000"/>
                <w:sz w:val="18"/>
                <w:szCs w:val="18"/>
                <w:lang w:eastAsia="es-GT"/>
              </w:rPr>
            </w:pPr>
            <w:r>
              <w:rPr>
                <w:color w:val="000000"/>
                <w:sz w:val="18"/>
                <w:szCs w:val="18"/>
              </w:rPr>
              <w:t>553.8</w:t>
            </w:r>
          </w:p>
        </w:tc>
        <w:tc>
          <w:tcPr>
            <w:tcW w:w="911" w:type="dxa"/>
            <w:tcBorders>
              <w:top w:val="nil"/>
              <w:left w:val="nil"/>
              <w:bottom w:val="nil"/>
              <w:right w:val="nil"/>
            </w:tcBorders>
            <w:shd w:val="clear" w:color="auto" w:fill="auto"/>
            <w:noWrap/>
            <w:vAlign w:val="center"/>
            <w:hideMark/>
          </w:tcPr>
          <w:p w14:paraId="2BFB6A8C" w14:textId="2C269ED4" w:rsidR="00B66BA5" w:rsidRPr="005E4085" w:rsidRDefault="00B66BA5" w:rsidP="00B66BA5">
            <w:pPr>
              <w:jc w:val="center"/>
              <w:rPr>
                <w:rFonts w:eastAsia="Times New Roman" w:cs="Times New Roman"/>
                <w:color w:val="000000"/>
                <w:sz w:val="18"/>
                <w:szCs w:val="18"/>
                <w:lang w:eastAsia="es-GT"/>
              </w:rPr>
            </w:pPr>
            <w:r>
              <w:rPr>
                <w:color w:val="000000"/>
                <w:sz w:val="18"/>
                <w:szCs w:val="18"/>
              </w:rPr>
              <w:t>4.1</w:t>
            </w:r>
          </w:p>
        </w:tc>
      </w:tr>
      <w:tr w:rsidR="00B66BA5" w:rsidRPr="00844F46" w14:paraId="59FCF9E5" w14:textId="77777777" w:rsidTr="002700BC">
        <w:trPr>
          <w:trHeight w:val="255"/>
          <w:jc w:val="center"/>
        </w:trPr>
        <w:tc>
          <w:tcPr>
            <w:tcW w:w="3467" w:type="dxa"/>
            <w:tcBorders>
              <w:top w:val="nil"/>
              <w:left w:val="nil"/>
              <w:bottom w:val="nil"/>
              <w:right w:val="nil"/>
            </w:tcBorders>
            <w:shd w:val="clear" w:color="auto" w:fill="auto"/>
            <w:noWrap/>
            <w:vAlign w:val="center"/>
            <w:hideMark/>
          </w:tcPr>
          <w:p w14:paraId="33A6AFD6" w14:textId="77777777" w:rsidR="00B66BA5" w:rsidRPr="00844F46" w:rsidRDefault="00B66BA5" w:rsidP="00B66BA5">
            <w:pPr>
              <w:ind w:firstLineChars="100" w:firstLine="180"/>
              <w:jc w:val="left"/>
              <w:rPr>
                <w:rFonts w:eastAsia="Times New Roman" w:cs="Times New Roman"/>
                <w:color w:val="000000"/>
                <w:sz w:val="18"/>
                <w:szCs w:val="18"/>
                <w:lang w:eastAsia="es-GT"/>
              </w:rPr>
            </w:pPr>
            <w:r w:rsidRPr="00844F46">
              <w:rPr>
                <w:rFonts w:eastAsia="Times New Roman" w:cs="Times New Roman"/>
                <w:color w:val="000000"/>
                <w:sz w:val="18"/>
                <w:szCs w:val="18"/>
                <w:lang w:eastAsia="es-GT"/>
              </w:rPr>
              <w:t xml:space="preserve">Uso de bienes y servicios  </w:t>
            </w:r>
          </w:p>
        </w:tc>
        <w:tc>
          <w:tcPr>
            <w:tcW w:w="945" w:type="dxa"/>
            <w:tcBorders>
              <w:top w:val="nil"/>
              <w:left w:val="nil"/>
              <w:bottom w:val="nil"/>
              <w:right w:val="nil"/>
            </w:tcBorders>
            <w:shd w:val="clear" w:color="auto" w:fill="auto"/>
            <w:noWrap/>
            <w:vAlign w:val="center"/>
            <w:hideMark/>
          </w:tcPr>
          <w:p w14:paraId="1CB46A94" w14:textId="24A4A736" w:rsidR="00B66BA5" w:rsidRPr="005E4085" w:rsidRDefault="00B66BA5" w:rsidP="00B66BA5">
            <w:pPr>
              <w:jc w:val="center"/>
              <w:rPr>
                <w:rFonts w:eastAsia="Times New Roman" w:cs="Times New Roman"/>
                <w:color w:val="000000"/>
                <w:sz w:val="18"/>
                <w:szCs w:val="18"/>
                <w:lang w:eastAsia="es-GT"/>
              </w:rPr>
            </w:pPr>
            <w:r>
              <w:rPr>
                <w:color w:val="000000"/>
                <w:sz w:val="18"/>
                <w:szCs w:val="18"/>
              </w:rPr>
              <w:t>3,147.1</w:t>
            </w:r>
          </w:p>
        </w:tc>
        <w:tc>
          <w:tcPr>
            <w:tcW w:w="945" w:type="dxa"/>
            <w:tcBorders>
              <w:top w:val="nil"/>
              <w:left w:val="nil"/>
              <w:bottom w:val="nil"/>
              <w:right w:val="nil"/>
            </w:tcBorders>
            <w:shd w:val="clear" w:color="auto" w:fill="auto"/>
            <w:noWrap/>
            <w:vAlign w:val="center"/>
            <w:hideMark/>
          </w:tcPr>
          <w:p w14:paraId="50696E54" w14:textId="7A2930A6" w:rsidR="00B66BA5" w:rsidRPr="005E4085" w:rsidRDefault="00B66BA5" w:rsidP="00B66BA5">
            <w:pPr>
              <w:jc w:val="center"/>
              <w:rPr>
                <w:rFonts w:eastAsia="Times New Roman" w:cs="Times New Roman"/>
                <w:color w:val="000000"/>
                <w:sz w:val="18"/>
                <w:szCs w:val="18"/>
                <w:lang w:eastAsia="es-GT"/>
              </w:rPr>
            </w:pPr>
            <w:r>
              <w:rPr>
                <w:color w:val="000000"/>
                <w:sz w:val="18"/>
                <w:szCs w:val="18"/>
              </w:rPr>
              <w:t>5,199.4</w:t>
            </w:r>
          </w:p>
        </w:tc>
        <w:tc>
          <w:tcPr>
            <w:tcW w:w="945" w:type="dxa"/>
            <w:tcBorders>
              <w:top w:val="nil"/>
              <w:left w:val="dotDash" w:sz="4" w:space="0" w:color="auto"/>
              <w:bottom w:val="nil"/>
              <w:right w:val="nil"/>
            </w:tcBorders>
            <w:shd w:val="clear" w:color="auto" w:fill="auto"/>
            <w:noWrap/>
            <w:vAlign w:val="center"/>
            <w:hideMark/>
          </w:tcPr>
          <w:p w14:paraId="77BA800D" w14:textId="38205176" w:rsidR="00B66BA5" w:rsidRPr="005E4085" w:rsidRDefault="00B66BA5" w:rsidP="00B66BA5">
            <w:pPr>
              <w:jc w:val="center"/>
              <w:rPr>
                <w:rFonts w:eastAsia="Times New Roman" w:cs="Times New Roman"/>
                <w:color w:val="000000"/>
                <w:sz w:val="18"/>
                <w:szCs w:val="18"/>
                <w:lang w:eastAsia="es-GT"/>
              </w:rPr>
            </w:pPr>
            <w:r>
              <w:rPr>
                <w:color w:val="000000"/>
                <w:sz w:val="18"/>
                <w:szCs w:val="18"/>
              </w:rPr>
              <w:t>2,052.4</w:t>
            </w:r>
          </w:p>
        </w:tc>
        <w:tc>
          <w:tcPr>
            <w:tcW w:w="911" w:type="dxa"/>
            <w:tcBorders>
              <w:top w:val="nil"/>
              <w:left w:val="nil"/>
              <w:bottom w:val="nil"/>
              <w:right w:val="nil"/>
            </w:tcBorders>
            <w:shd w:val="clear" w:color="auto" w:fill="auto"/>
            <w:noWrap/>
            <w:vAlign w:val="center"/>
            <w:hideMark/>
          </w:tcPr>
          <w:p w14:paraId="48CF765F" w14:textId="5A008DE6" w:rsidR="00B66BA5" w:rsidRPr="005E4085" w:rsidRDefault="00B66BA5" w:rsidP="00B66BA5">
            <w:pPr>
              <w:jc w:val="center"/>
              <w:rPr>
                <w:rFonts w:eastAsia="Times New Roman" w:cs="Times New Roman"/>
                <w:color w:val="000000"/>
                <w:sz w:val="18"/>
                <w:szCs w:val="18"/>
                <w:lang w:eastAsia="es-GT"/>
              </w:rPr>
            </w:pPr>
            <w:r>
              <w:rPr>
                <w:color w:val="000000"/>
                <w:sz w:val="18"/>
                <w:szCs w:val="18"/>
              </w:rPr>
              <w:t>65.2</w:t>
            </w:r>
          </w:p>
        </w:tc>
      </w:tr>
      <w:tr w:rsidR="00B66BA5" w:rsidRPr="00844F46" w14:paraId="3AD19077" w14:textId="77777777" w:rsidTr="002700BC">
        <w:trPr>
          <w:trHeight w:val="255"/>
          <w:jc w:val="center"/>
        </w:trPr>
        <w:tc>
          <w:tcPr>
            <w:tcW w:w="3467" w:type="dxa"/>
            <w:tcBorders>
              <w:top w:val="nil"/>
              <w:left w:val="nil"/>
              <w:bottom w:val="nil"/>
              <w:right w:val="nil"/>
            </w:tcBorders>
            <w:shd w:val="clear" w:color="auto" w:fill="auto"/>
            <w:noWrap/>
            <w:vAlign w:val="center"/>
            <w:hideMark/>
          </w:tcPr>
          <w:p w14:paraId="590BA8CC" w14:textId="77777777" w:rsidR="00B66BA5" w:rsidRPr="00844F46" w:rsidRDefault="00B66BA5" w:rsidP="00B66BA5">
            <w:pPr>
              <w:ind w:firstLineChars="100" w:firstLine="180"/>
              <w:jc w:val="left"/>
              <w:rPr>
                <w:rFonts w:eastAsia="Times New Roman" w:cs="Times New Roman"/>
                <w:color w:val="000000"/>
                <w:sz w:val="18"/>
                <w:szCs w:val="18"/>
                <w:lang w:eastAsia="es-GT"/>
              </w:rPr>
            </w:pPr>
            <w:r w:rsidRPr="00844F46">
              <w:rPr>
                <w:rFonts w:eastAsia="Times New Roman" w:cs="Times New Roman"/>
                <w:color w:val="000000"/>
                <w:sz w:val="18"/>
                <w:szCs w:val="18"/>
                <w:lang w:eastAsia="es-GT"/>
              </w:rPr>
              <w:t xml:space="preserve">Intereses </w:t>
            </w:r>
          </w:p>
        </w:tc>
        <w:tc>
          <w:tcPr>
            <w:tcW w:w="945" w:type="dxa"/>
            <w:tcBorders>
              <w:top w:val="nil"/>
              <w:left w:val="nil"/>
              <w:bottom w:val="nil"/>
              <w:right w:val="nil"/>
            </w:tcBorders>
            <w:shd w:val="clear" w:color="auto" w:fill="auto"/>
            <w:noWrap/>
            <w:vAlign w:val="center"/>
            <w:hideMark/>
          </w:tcPr>
          <w:p w14:paraId="2F577573" w14:textId="482A673B" w:rsidR="00B66BA5" w:rsidRPr="005E4085" w:rsidRDefault="00B66BA5" w:rsidP="00B66BA5">
            <w:pPr>
              <w:jc w:val="center"/>
              <w:rPr>
                <w:rFonts w:eastAsia="Times New Roman" w:cs="Times New Roman"/>
                <w:color w:val="000000"/>
                <w:sz w:val="18"/>
                <w:szCs w:val="18"/>
                <w:lang w:eastAsia="es-GT"/>
              </w:rPr>
            </w:pPr>
            <w:r>
              <w:rPr>
                <w:color w:val="000000"/>
                <w:sz w:val="18"/>
                <w:szCs w:val="18"/>
              </w:rPr>
              <w:t>4,752.8</w:t>
            </w:r>
          </w:p>
        </w:tc>
        <w:tc>
          <w:tcPr>
            <w:tcW w:w="945" w:type="dxa"/>
            <w:tcBorders>
              <w:top w:val="nil"/>
              <w:left w:val="nil"/>
              <w:bottom w:val="nil"/>
              <w:right w:val="nil"/>
            </w:tcBorders>
            <w:shd w:val="clear" w:color="auto" w:fill="auto"/>
            <w:noWrap/>
            <w:vAlign w:val="center"/>
            <w:hideMark/>
          </w:tcPr>
          <w:p w14:paraId="4941805D" w14:textId="7CFE7F4B" w:rsidR="00B66BA5" w:rsidRPr="005E4085" w:rsidRDefault="00B66BA5" w:rsidP="00B66BA5">
            <w:pPr>
              <w:jc w:val="center"/>
              <w:rPr>
                <w:rFonts w:eastAsia="Times New Roman" w:cs="Times New Roman"/>
                <w:color w:val="000000"/>
                <w:sz w:val="18"/>
                <w:szCs w:val="18"/>
                <w:lang w:eastAsia="es-GT"/>
              </w:rPr>
            </w:pPr>
            <w:r>
              <w:rPr>
                <w:color w:val="000000"/>
                <w:sz w:val="18"/>
                <w:szCs w:val="18"/>
              </w:rPr>
              <w:t>5,504.8</w:t>
            </w:r>
          </w:p>
        </w:tc>
        <w:tc>
          <w:tcPr>
            <w:tcW w:w="945" w:type="dxa"/>
            <w:tcBorders>
              <w:top w:val="nil"/>
              <w:left w:val="dotDash" w:sz="4" w:space="0" w:color="auto"/>
              <w:bottom w:val="nil"/>
              <w:right w:val="nil"/>
            </w:tcBorders>
            <w:shd w:val="clear" w:color="auto" w:fill="auto"/>
            <w:noWrap/>
            <w:vAlign w:val="center"/>
            <w:hideMark/>
          </w:tcPr>
          <w:p w14:paraId="70E6437A" w14:textId="53F0D490" w:rsidR="00B66BA5" w:rsidRPr="005E4085" w:rsidRDefault="00B66BA5" w:rsidP="00B66BA5">
            <w:pPr>
              <w:jc w:val="center"/>
              <w:rPr>
                <w:rFonts w:eastAsia="Times New Roman" w:cs="Times New Roman"/>
                <w:color w:val="000000"/>
                <w:sz w:val="18"/>
                <w:szCs w:val="18"/>
                <w:lang w:eastAsia="es-GT"/>
              </w:rPr>
            </w:pPr>
            <w:r>
              <w:rPr>
                <w:color w:val="000000"/>
                <w:sz w:val="18"/>
                <w:szCs w:val="18"/>
              </w:rPr>
              <w:t>751.9</w:t>
            </w:r>
          </w:p>
        </w:tc>
        <w:tc>
          <w:tcPr>
            <w:tcW w:w="911" w:type="dxa"/>
            <w:tcBorders>
              <w:top w:val="nil"/>
              <w:left w:val="nil"/>
              <w:bottom w:val="nil"/>
              <w:right w:val="nil"/>
            </w:tcBorders>
            <w:shd w:val="clear" w:color="auto" w:fill="auto"/>
            <w:noWrap/>
            <w:vAlign w:val="center"/>
            <w:hideMark/>
          </w:tcPr>
          <w:p w14:paraId="4CB79B67" w14:textId="72EABAB1" w:rsidR="00B66BA5" w:rsidRPr="005E4085" w:rsidRDefault="00B66BA5" w:rsidP="00B66BA5">
            <w:pPr>
              <w:jc w:val="center"/>
              <w:rPr>
                <w:rFonts w:eastAsia="Times New Roman" w:cs="Times New Roman"/>
                <w:color w:val="000000"/>
                <w:sz w:val="18"/>
                <w:szCs w:val="18"/>
                <w:lang w:eastAsia="es-GT"/>
              </w:rPr>
            </w:pPr>
            <w:r>
              <w:rPr>
                <w:color w:val="000000"/>
                <w:sz w:val="18"/>
                <w:szCs w:val="18"/>
              </w:rPr>
              <w:t>15.8</w:t>
            </w:r>
          </w:p>
        </w:tc>
      </w:tr>
      <w:tr w:rsidR="00B66BA5" w:rsidRPr="00844F46" w14:paraId="67DF567F" w14:textId="77777777" w:rsidTr="002700BC">
        <w:trPr>
          <w:trHeight w:val="255"/>
          <w:jc w:val="center"/>
        </w:trPr>
        <w:tc>
          <w:tcPr>
            <w:tcW w:w="3467" w:type="dxa"/>
            <w:tcBorders>
              <w:top w:val="nil"/>
              <w:left w:val="nil"/>
              <w:bottom w:val="nil"/>
              <w:right w:val="nil"/>
            </w:tcBorders>
            <w:shd w:val="clear" w:color="auto" w:fill="auto"/>
            <w:noWrap/>
            <w:vAlign w:val="center"/>
            <w:hideMark/>
          </w:tcPr>
          <w:p w14:paraId="149FFB1A" w14:textId="77777777" w:rsidR="00B66BA5" w:rsidRPr="00844F46" w:rsidRDefault="00B66BA5" w:rsidP="00B66BA5">
            <w:pPr>
              <w:ind w:firstLineChars="100" w:firstLine="180"/>
              <w:jc w:val="left"/>
              <w:rPr>
                <w:rFonts w:eastAsia="Times New Roman" w:cs="Times New Roman"/>
                <w:color w:val="000000"/>
                <w:sz w:val="18"/>
                <w:szCs w:val="18"/>
                <w:lang w:eastAsia="es-GT"/>
              </w:rPr>
            </w:pPr>
            <w:r w:rsidRPr="00844F46">
              <w:rPr>
                <w:rFonts w:eastAsia="Times New Roman" w:cs="Times New Roman"/>
                <w:color w:val="000000"/>
                <w:sz w:val="18"/>
                <w:szCs w:val="18"/>
                <w:lang w:eastAsia="es-GT"/>
              </w:rPr>
              <w:t xml:space="preserve">Subsidios </w:t>
            </w:r>
          </w:p>
        </w:tc>
        <w:tc>
          <w:tcPr>
            <w:tcW w:w="945" w:type="dxa"/>
            <w:tcBorders>
              <w:top w:val="nil"/>
              <w:left w:val="nil"/>
              <w:bottom w:val="nil"/>
              <w:right w:val="nil"/>
            </w:tcBorders>
            <w:shd w:val="clear" w:color="auto" w:fill="auto"/>
            <w:noWrap/>
            <w:vAlign w:val="center"/>
            <w:hideMark/>
          </w:tcPr>
          <w:p w14:paraId="5870CE10" w14:textId="2029539E" w:rsidR="00B66BA5" w:rsidRPr="005E4085" w:rsidRDefault="00B66BA5" w:rsidP="00B66BA5">
            <w:pPr>
              <w:jc w:val="center"/>
              <w:rPr>
                <w:rFonts w:eastAsia="Times New Roman" w:cs="Times New Roman"/>
                <w:color w:val="000000"/>
                <w:sz w:val="18"/>
                <w:szCs w:val="18"/>
                <w:lang w:eastAsia="es-GT"/>
              </w:rPr>
            </w:pPr>
            <w:r>
              <w:rPr>
                <w:color w:val="000000"/>
                <w:sz w:val="18"/>
                <w:szCs w:val="18"/>
              </w:rPr>
              <w:t>791.5</w:t>
            </w:r>
          </w:p>
        </w:tc>
        <w:tc>
          <w:tcPr>
            <w:tcW w:w="945" w:type="dxa"/>
            <w:tcBorders>
              <w:top w:val="nil"/>
              <w:left w:val="nil"/>
              <w:bottom w:val="nil"/>
              <w:right w:val="nil"/>
            </w:tcBorders>
            <w:shd w:val="clear" w:color="auto" w:fill="auto"/>
            <w:noWrap/>
            <w:vAlign w:val="center"/>
            <w:hideMark/>
          </w:tcPr>
          <w:p w14:paraId="7A9E2FCC" w14:textId="103B6D12" w:rsidR="00B66BA5" w:rsidRPr="005E4085" w:rsidRDefault="00B66BA5" w:rsidP="00B66BA5">
            <w:pPr>
              <w:jc w:val="center"/>
              <w:rPr>
                <w:rFonts w:eastAsia="Times New Roman" w:cs="Times New Roman"/>
                <w:color w:val="000000"/>
                <w:sz w:val="18"/>
                <w:szCs w:val="18"/>
                <w:lang w:eastAsia="es-GT"/>
              </w:rPr>
            </w:pPr>
            <w:r>
              <w:rPr>
                <w:color w:val="000000"/>
                <w:sz w:val="18"/>
                <w:szCs w:val="18"/>
              </w:rPr>
              <w:t>192.8</w:t>
            </w:r>
          </w:p>
        </w:tc>
        <w:tc>
          <w:tcPr>
            <w:tcW w:w="945" w:type="dxa"/>
            <w:tcBorders>
              <w:top w:val="nil"/>
              <w:left w:val="dotDash" w:sz="4" w:space="0" w:color="auto"/>
              <w:bottom w:val="nil"/>
              <w:right w:val="nil"/>
            </w:tcBorders>
            <w:shd w:val="clear" w:color="auto" w:fill="auto"/>
            <w:noWrap/>
            <w:vAlign w:val="center"/>
            <w:hideMark/>
          </w:tcPr>
          <w:p w14:paraId="219CAC35" w14:textId="2D5AA68D" w:rsidR="00B66BA5" w:rsidRPr="005E4085" w:rsidRDefault="00B66BA5" w:rsidP="00B66BA5">
            <w:pPr>
              <w:jc w:val="center"/>
              <w:rPr>
                <w:rFonts w:eastAsia="Times New Roman" w:cs="Times New Roman"/>
                <w:color w:val="000000"/>
                <w:sz w:val="18"/>
                <w:szCs w:val="18"/>
                <w:lang w:eastAsia="es-GT"/>
              </w:rPr>
            </w:pPr>
            <w:r>
              <w:rPr>
                <w:color w:val="000000"/>
                <w:sz w:val="18"/>
                <w:szCs w:val="18"/>
              </w:rPr>
              <w:t>-598.7</w:t>
            </w:r>
          </w:p>
        </w:tc>
        <w:tc>
          <w:tcPr>
            <w:tcW w:w="911" w:type="dxa"/>
            <w:tcBorders>
              <w:top w:val="nil"/>
              <w:left w:val="nil"/>
              <w:bottom w:val="nil"/>
              <w:right w:val="nil"/>
            </w:tcBorders>
            <w:shd w:val="clear" w:color="auto" w:fill="auto"/>
            <w:noWrap/>
            <w:vAlign w:val="center"/>
            <w:hideMark/>
          </w:tcPr>
          <w:p w14:paraId="128733EA" w14:textId="651034B9" w:rsidR="00B66BA5" w:rsidRPr="005E4085" w:rsidRDefault="00B66BA5" w:rsidP="00B66BA5">
            <w:pPr>
              <w:jc w:val="center"/>
              <w:rPr>
                <w:rFonts w:eastAsia="Times New Roman" w:cs="Times New Roman"/>
                <w:color w:val="000000"/>
                <w:sz w:val="18"/>
                <w:szCs w:val="18"/>
                <w:lang w:eastAsia="es-GT"/>
              </w:rPr>
            </w:pPr>
            <w:r>
              <w:rPr>
                <w:color w:val="000000"/>
                <w:sz w:val="18"/>
                <w:szCs w:val="18"/>
              </w:rPr>
              <w:t>-75.6</w:t>
            </w:r>
          </w:p>
        </w:tc>
      </w:tr>
      <w:tr w:rsidR="00B66BA5" w:rsidRPr="00844F46" w14:paraId="724C7E0F" w14:textId="77777777" w:rsidTr="002700BC">
        <w:trPr>
          <w:trHeight w:val="255"/>
          <w:jc w:val="center"/>
        </w:trPr>
        <w:tc>
          <w:tcPr>
            <w:tcW w:w="3467" w:type="dxa"/>
            <w:tcBorders>
              <w:top w:val="nil"/>
              <w:left w:val="nil"/>
              <w:bottom w:val="nil"/>
              <w:right w:val="nil"/>
            </w:tcBorders>
            <w:shd w:val="clear" w:color="auto" w:fill="auto"/>
            <w:noWrap/>
            <w:vAlign w:val="center"/>
            <w:hideMark/>
          </w:tcPr>
          <w:p w14:paraId="7E0632B4" w14:textId="77777777" w:rsidR="00B66BA5" w:rsidRPr="00844F46" w:rsidRDefault="00B66BA5" w:rsidP="00B66BA5">
            <w:pPr>
              <w:ind w:firstLineChars="100" w:firstLine="180"/>
              <w:jc w:val="left"/>
              <w:rPr>
                <w:rFonts w:eastAsia="Times New Roman" w:cs="Times New Roman"/>
                <w:color w:val="000000"/>
                <w:sz w:val="18"/>
                <w:szCs w:val="18"/>
                <w:lang w:eastAsia="es-GT"/>
              </w:rPr>
            </w:pPr>
            <w:r w:rsidRPr="00844F46">
              <w:rPr>
                <w:rFonts w:eastAsia="Times New Roman" w:cs="Times New Roman"/>
                <w:color w:val="000000"/>
                <w:sz w:val="18"/>
                <w:szCs w:val="18"/>
                <w:lang w:eastAsia="es-GT"/>
              </w:rPr>
              <w:t xml:space="preserve">Donaciones </w:t>
            </w:r>
          </w:p>
        </w:tc>
        <w:tc>
          <w:tcPr>
            <w:tcW w:w="945" w:type="dxa"/>
            <w:tcBorders>
              <w:top w:val="nil"/>
              <w:left w:val="nil"/>
              <w:bottom w:val="nil"/>
              <w:right w:val="nil"/>
            </w:tcBorders>
            <w:shd w:val="clear" w:color="auto" w:fill="auto"/>
            <w:noWrap/>
            <w:vAlign w:val="center"/>
            <w:hideMark/>
          </w:tcPr>
          <w:p w14:paraId="4ED42B29" w14:textId="1DD9F515" w:rsidR="00B66BA5" w:rsidRPr="005E4085" w:rsidRDefault="00B66BA5" w:rsidP="00B66BA5">
            <w:pPr>
              <w:jc w:val="center"/>
              <w:rPr>
                <w:rFonts w:eastAsia="Times New Roman" w:cs="Times New Roman"/>
                <w:color w:val="000000"/>
                <w:sz w:val="18"/>
                <w:szCs w:val="18"/>
                <w:lang w:eastAsia="es-GT"/>
              </w:rPr>
            </w:pPr>
            <w:r>
              <w:rPr>
                <w:color w:val="000000"/>
                <w:sz w:val="18"/>
                <w:szCs w:val="18"/>
              </w:rPr>
              <w:t>8,680.7</w:t>
            </w:r>
          </w:p>
        </w:tc>
        <w:tc>
          <w:tcPr>
            <w:tcW w:w="945" w:type="dxa"/>
            <w:tcBorders>
              <w:top w:val="nil"/>
              <w:left w:val="nil"/>
              <w:bottom w:val="nil"/>
              <w:right w:val="nil"/>
            </w:tcBorders>
            <w:shd w:val="clear" w:color="auto" w:fill="auto"/>
            <w:noWrap/>
            <w:vAlign w:val="center"/>
            <w:hideMark/>
          </w:tcPr>
          <w:p w14:paraId="3C88A2D4" w14:textId="6FC30733" w:rsidR="00B66BA5" w:rsidRPr="005E4085" w:rsidRDefault="00B66BA5" w:rsidP="00B66BA5">
            <w:pPr>
              <w:jc w:val="center"/>
              <w:rPr>
                <w:rFonts w:eastAsia="Times New Roman" w:cs="Times New Roman"/>
                <w:color w:val="000000"/>
                <w:sz w:val="18"/>
                <w:szCs w:val="18"/>
                <w:lang w:eastAsia="es-GT"/>
              </w:rPr>
            </w:pPr>
            <w:r>
              <w:rPr>
                <w:color w:val="000000"/>
                <w:sz w:val="18"/>
                <w:szCs w:val="18"/>
              </w:rPr>
              <w:t>9,367.7</w:t>
            </w:r>
          </w:p>
        </w:tc>
        <w:tc>
          <w:tcPr>
            <w:tcW w:w="945" w:type="dxa"/>
            <w:tcBorders>
              <w:top w:val="nil"/>
              <w:left w:val="dotDash" w:sz="4" w:space="0" w:color="auto"/>
              <w:bottom w:val="nil"/>
              <w:right w:val="nil"/>
            </w:tcBorders>
            <w:shd w:val="clear" w:color="auto" w:fill="auto"/>
            <w:noWrap/>
            <w:vAlign w:val="center"/>
            <w:hideMark/>
          </w:tcPr>
          <w:p w14:paraId="60DB7E2C" w14:textId="77F2A32D" w:rsidR="00B66BA5" w:rsidRPr="005E4085" w:rsidRDefault="00B66BA5" w:rsidP="00B66BA5">
            <w:pPr>
              <w:jc w:val="center"/>
              <w:rPr>
                <w:rFonts w:eastAsia="Times New Roman" w:cs="Times New Roman"/>
                <w:color w:val="000000"/>
                <w:sz w:val="18"/>
                <w:szCs w:val="18"/>
                <w:lang w:eastAsia="es-GT"/>
              </w:rPr>
            </w:pPr>
            <w:r>
              <w:rPr>
                <w:color w:val="000000"/>
                <w:sz w:val="18"/>
                <w:szCs w:val="18"/>
              </w:rPr>
              <w:t>687.0</w:t>
            </w:r>
          </w:p>
        </w:tc>
        <w:tc>
          <w:tcPr>
            <w:tcW w:w="911" w:type="dxa"/>
            <w:tcBorders>
              <w:top w:val="nil"/>
              <w:left w:val="nil"/>
              <w:bottom w:val="nil"/>
              <w:right w:val="nil"/>
            </w:tcBorders>
            <w:shd w:val="clear" w:color="auto" w:fill="auto"/>
            <w:noWrap/>
            <w:vAlign w:val="center"/>
            <w:hideMark/>
          </w:tcPr>
          <w:p w14:paraId="5F84520C" w14:textId="4C01D7E7" w:rsidR="00B66BA5" w:rsidRPr="005E4085" w:rsidRDefault="00B66BA5" w:rsidP="00B66BA5">
            <w:pPr>
              <w:jc w:val="center"/>
              <w:rPr>
                <w:rFonts w:eastAsia="Times New Roman" w:cs="Times New Roman"/>
                <w:color w:val="000000"/>
                <w:sz w:val="18"/>
                <w:szCs w:val="18"/>
                <w:lang w:eastAsia="es-GT"/>
              </w:rPr>
            </w:pPr>
            <w:r>
              <w:rPr>
                <w:color w:val="000000"/>
                <w:sz w:val="18"/>
                <w:szCs w:val="18"/>
              </w:rPr>
              <w:t>7.9</w:t>
            </w:r>
          </w:p>
        </w:tc>
      </w:tr>
      <w:tr w:rsidR="00B66BA5" w:rsidRPr="00844F46" w14:paraId="5ADE715F" w14:textId="77777777" w:rsidTr="002700BC">
        <w:trPr>
          <w:trHeight w:val="255"/>
          <w:jc w:val="center"/>
        </w:trPr>
        <w:tc>
          <w:tcPr>
            <w:tcW w:w="3467" w:type="dxa"/>
            <w:tcBorders>
              <w:top w:val="nil"/>
              <w:left w:val="nil"/>
              <w:bottom w:val="nil"/>
              <w:right w:val="nil"/>
            </w:tcBorders>
            <w:shd w:val="clear" w:color="auto" w:fill="auto"/>
            <w:noWrap/>
            <w:vAlign w:val="center"/>
            <w:hideMark/>
          </w:tcPr>
          <w:p w14:paraId="7B8CEE45" w14:textId="77777777" w:rsidR="00B66BA5" w:rsidRPr="00844F46" w:rsidRDefault="00B66BA5" w:rsidP="00B66BA5">
            <w:pPr>
              <w:ind w:firstLineChars="100" w:firstLine="180"/>
              <w:jc w:val="left"/>
              <w:rPr>
                <w:rFonts w:eastAsia="Times New Roman" w:cs="Times New Roman"/>
                <w:color w:val="000000"/>
                <w:sz w:val="18"/>
                <w:szCs w:val="18"/>
                <w:lang w:eastAsia="es-GT"/>
              </w:rPr>
            </w:pPr>
            <w:r w:rsidRPr="00844F46">
              <w:rPr>
                <w:rFonts w:eastAsia="Times New Roman" w:cs="Times New Roman"/>
                <w:color w:val="000000"/>
                <w:sz w:val="18"/>
                <w:szCs w:val="18"/>
                <w:lang w:eastAsia="es-GT"/>
              </w:rPr>
              <w:t xml:space="preserve">Prestaciones sociales </w:t>
            </w:r>
          </w:p>
        </w:tc>
        <w:tc>
          <w:tcPr>
            <w:tcW w:w="945" w:type="dxa"/>
            <w:tcBorders>
              <w:top w:val="nil"/>
              <w:left w:val="nil"/>
              <w:bottom w:val="nil"/>
              <w:right w:val="nil"/>
            </w:tcBorders>
            <w:shd w:val="clear" w:color="auto" w:fill="auto"/>
            <w:noWrap/>
            <w:vAlign w:val="center"/>
            <w:hideMark/>
          </w:tcPr>
          <w:p w14:paraId="689DD1C3" w14:textId="7B137911" w:rsidR="00B66BA5" w:rsidRPr="005E4085" w:rsidRDefault="00B66BA5" w:rsidP="00B66BA5">
            <w:pPr>
              <w:jc w:val="center"/>
              <w:rPr>
                <w:rFonts w:eastAsia="Times New Roman" w:cs="Times New Roman"/>
                <w:color w:val="000000"/>
                <w:sz w:val="18"/>
                <w:szCs w:val="18"/>
                <w:lang w:eastAsia="es-GT"/>
              </w:rPr>
            </w:pPr>
            <w:r>
              <w:rPr>
                <w:color w:val="000000"/>
                <w:sz w:val="18"/>
                <w:szCs w:val="18"/>
              </w:rPr>
              <w:t>4,421.9</w:t>
            </w:r>
          </w:p>
        </w:tc>
        <w:tc>
          <w:tcPr>
            <w:tcW w:w="945" w:type="dxa"/>
            <w:tcBorders>
              <w:top w:val="nil"/>
              <w:left w:val="nil"/>
              <w:bottom w:val="nil"/>
              <w:right w:val="nil"/>
            </w:tcBorders>
            <w:shd w:val="clear" w:color="auto" w:fill="auto"/>
            <w:noWrap/>
            <w:vAlign w:val="center"/>
            <w:hideMark/>
          </w:tcPr>
          <w:p w14:paraId="09851A0F" w14:textId="052B9A64" w:rsidR="00B66BA5" w:rsidRPr="005E4085" w:rsidRDefault="00B66BA5" w:rsidP="00B66BA5">
            <w:pPr>
              <w:jc w:val="center"/>
              <w:rPr>
                <w:rFonts w:eastAsia="Times New Roman" w:cs="Times New Roman"/>
                <w:color w:val="000000"/>
                <w:sz w:val="18"/>
                <w:szCs w:val="18"/>
                <w:lang w:eastAsia="es-GT"/>
              </w:rPr>
            </w:pPr>
            <w:r>
              <w:rPr>
                <w:color w:val="000000"/>
                <w:sz w:val="18"/>
                <w:szCs w:val="18"/>
              </w:rPr>
              <w:t>2,663.5</w:t>
            </w:r>
          </w:p>
        </w:tc>
        <w:tc>
          <w:tcPr>
            <w:tcW w:w="945" w:type="dxa"/>
            <w:tcBorders>
              <w:top w:val="nil"/>
              <w:left w:val="dotDash" w:sz="4" w:space="0" w:color="auto"/>
              <w:bottom w:val="nil"/>
              <w:right w:val="nil"/>
            </w:tcBorders>
            <w:shd w:val="clear" w:color="auto" w:fill="auto"/>
            <w:noWrap/>
            <w:vAlign w:val="center"/>
            <w:hideMark/>
          </w:tcPr>
          <w:p w14:paraId="52455A5C" w14:textId="34A99E73" w:rsidR="00B66BA5" w:rsidRPr="005E4085" w:rsidRDefault="00B66BA5" w:rsidP="00B66BA5">
            <w:pPr>
              <w:jc w:val="center"/>
              <w:rPr>
                <w:rFonts w:eastAsia="Times New Roman" w:cs="Times New Roman"/>
                <w:color w:val="000000"/>
                <w:sz w:val="18"/>
                <w:szCs w:val="18"/>
                <w:lang w:eastAsia="es-GT"/>
              </w:rPr>
            </w:pPr>
            <w:r>
              <w:rPr>
                <w:color w:val="000000"/>
                <w:sz w:val="18"/>
                <w:szCs w:val="18"/>
              </w:rPr>
              <w:t>-1,758.4</w:t>
            </w:r>
          </w:p>
        </w:tc>
        <w:tc>
          <w:tcPr>
            <w:tcW w:w="911" w:type="dxa"/>
            <w:tcBorders>
              <w:top w:val="nil"/>
              <w:left w:val="nil"/>
              <w:bottom w:val="nil"/>
              <w:right w:val="nil"/>
            </w:tcBorders>
            <w:shd w:val="clear" w:color="auto" w:fill="auto"/>
            <w:noWrap/>
            <w:vAlign w:val="center"/>
            <w:hideMark/>
          </w:tcPr>
          <w:p w14:paraId="49A85C01" w14:textId="615F29EE" w:rsidR="00B66BA5" w:rsidRPr="005E4085" w:rsidRDefault="00B66BA5" w:rsidP="00B66BA5">
            <w:pPr>
              <w:jc w:val="center"/>
              <w:rPr>
                <w:rFonts w:eastAsia="Times New Roman" w:cs="Times New Roman"/>
                <w:color w:val="000000"/>
                <w:sz w:val="18"/>
                <w:szCs w:val="18"/>
                <w:lang w:eastAsia="es-GT"/>
              </w:rPr>
            </w:pPr>
            <w:r>
              <w:rPr>
                <w:color w:val="000000"/>
                <w:sz w:val="18"/>
                <w:szCs w:val="18"/>
              </w:rPr>
              <w:t>-39.8</w:t>
            </w:r>
          </w:p>
        </w:tc>
      </w:tr>
      <w:tr w:rsidR="00B66BA5" w:rsidRPr="00844F46" w14:paraId="1711A3FC" w14:textId="77777777" w:rsidTr="002700BC">
        <w:trPr>
          <w:trHeight w:val="255"/>
          <w:jc w:val="center"/>
        </w:trPr>
        <w:tc>
          <w:tcPr>
            <w:tcW w:w="3467" w:type="dxa"/>
            <w:tcBorders>
              <w:top w:val="nil"/>
              <w:left w:val="nil"/>
              <w:bottom w:val="nil"/>
              <w:right w:val="nil"/>
            </w:tcBorders>
            <w:shd w:val="clear" w:color="auto" w:fill="auto"/>
            <w:noWrap/>
            <w:vAlign w:val="center"/>
            <w:hideMark/>
          </w:tcPr>
          <w:p w14:paraId="22B02FA4" w14:textId="77777777" w:rsidR="00B66BA5" w:rsidRPr="00844F46" w:rsidRDefault="00B66BA5" w:rsidP="00B66BA5">
            <w:pPr>
              <w:ind w:firstLineChars="100" w:firstLine="180"/>
              <w:jc w:val="left"/>
              <w:rPr>
                <w:rFonts w:eastAsia="Times New Roman" w:cs="Times New Roman"/>
                <w:color w:val="000000"/>
                <w:sz w:val="18"/>
                <w:szCs w:val="18"/>
                <w:lang w:eastAsia="es-GT"/>
              </w:rPr>
            </w:pPr>
            <w:r w:rsidRPr="00844F46">
              <w:rPr>
                <w:rFonts w:eastAsia="Times New Roman" w:cs="Times New Roman"/>
                <w:color w:val="000000"/>
                <w:sz w:val="18"/>
                <w:szCs w:val="18"/>
                <w:lang w:eastAsia="es-GT"/>
              </w:rPr>
              <w:t xml:space="preserve">Otros gastos </w:t>
            </w:r>
          </w:p>
        </w:tc>
        <w:tc>
          <w:tcPr>
            <w:tcW w:w="945" w:type="dxa"/>
            <w:tcBorders>
              <w:top w:val="nil"/>
              <w:left w:val="nil"/>
              <w:bottom w:val="nil"/>
              <w:right w:val="nil"/>
            </w:tcBorders>
            <w:shd w:val="clear" w:color="auto" w:fill="auto"/>
            <w:noWrap/>
            <w:vAlign w:val="center"/>
            <w:hideMark/>
          </w:tcPr>
          <w:p w14:paraId="5C207028" w14:textId="7E771C2C" w:rsidR="00B66BA5" w:rsidRPr="005E4085" w:rsidRDefault="00B66BA5" w:rsidP="00B66BA5">
            <w:pPr>
              <w:jc w:val="center"/>
              <w:rPr>
                <w:rFonts w:eastAsia="Times New Roman" w:cs="Times New Roman"/>
                <w:color w:val="000000"/>
                <w:sz w:val="18"/>
                <w:szCs w:val="18"/>
                <w:lang w:eastAsia="es-GT"/>
              </w:rPr>
            </w:pPr>
            <w:r>
              <w:rPr>
                <w:color w:val="000000"/>
                <w:sz w:val="18"/>
                <w:szCs w:val="18"/>
              </w:rPr>
              <w:t>2,682.6</w:t>
            </w:r>
          </w:p>
        </w:tc>
        <w:tc>
          <w:tcPr>
            <w:tcW w:w="945" w:type="dxa"/>
            <w:tcBorders>
              <w:top w:val="nil"/>
              <w:left w:val="nil"/>
              <w:bottom w:val="nil"/>
              <w:right w:val="nil"/>
            </w:tcBorders>
            <w:shd w:val="clear" w:color="auto" w:fill="auto"/>
            <w:noWrap/>
            <w:vAlign w:val="center"/>
            <w:hideMark/>
          </w:tcPr>
          <w:p w14:paraId="637B969B" w14:textId="7732CB5B" w:rsidR="00B66BA5" w:rsidRPr="005E4085" w:rsidRDefault="00B66BA5" w:rsidP="00B66BA5">
            <w:pPr>
              <w:jc w:val="center"/>
              <w:rPr>
                <w:rFonts w:eastAsia="Times New Roman" w:cs="Times New Roman"/>
                <w:color w:val="000000"/>
                <w:sz w:val="18"/>
                <w:szCs w:val="18"/>
                <w:lang w:eastAsia="es-GT"/>
              </w:rPr>
            </w:pPr>
            <w:r>
              <w:rPr>
                <w:color w:val="000000"/>
                <w:sz w:val="18"/>
                <w:szCs w:val="18"/>
              </w:rPr>
              <w:t>2,513.8</w:t>
            </w:r>
          </w:p>
        </w:tc>
        <w:tc>
          <w:tcPr>
            <w:tcW w:w="945" w:type="dxa"/>
            <w:tcBorders>
              <w:top w:val="nil"/>
              <w:left w:val="dotDash" w:sz="4" w:space="0" w:color="auto"/>
              <w:bottom w:val="nil"/>
              <w:right w:val="nil"/>
            </w:tcBorders>
            <w:shd w:val="clear" w:color="auto" w:fill="auto"/>
            <w:noWrap/>
            <w:vAlign w:val="center"/>
            <w:hideMark/>
          </w:tcPr>
          <w:p w14:paraId="174D9D9D" w14:textId="734C1AF2" w:rsidR="00B66BA5" w:rsidRPr="005E4085" w:rsidRDefault="00B66BA5" w:rsidP="00B66BA5">
            <w:pPr>
              <w:jc w:val="center"/>
              <w:rPr>
                <w:rFonts w:eastAsia="Times New Roman" w:cs="Times New Roman"/>
                <w:color w:val="000000"/>
                <w:sz w:val="18"/>
                <w:szCs w:val="18"/>
                <w:lang w:eastAsia="es-GT"/>
              </w:rPr>
            </w:pPr>
            <w:r>
              <w:rPr>
                <w:color w:val="000000"/>
                <w:sz w:val="18"/>
                <w:szCs w:val="18"/>
              </w:rPr>
              <w:t>-168.8</w:t>
            </w:r>
          </w:p>
        </w:tc>
        <w:tc>
          <w:tcPr>
            <w:tcW w:w="911" w:type="dxa"/>
            <w:tcBorders>
              <w:top w:val="nil"/>
              <w:left w:val="nil"/>
              <w:bottom w:val="nil"/>
              <w:right w:val="nil"/>
            </w:tcBorders>
            <w:shd w:val="clear" w:color="auto" w:fill="auto"/>
            <w:noWrap/>
            <w:vAlign w:val="center"/>
            <w:hideMark/>
          </w:tcPr>
          <w:p w14:paraId="17A459B1" w14:textId="64249B22" w:rsidR="00B66BA5" w:rsidRPr="005E4085" w:rsidRDefault="00B66BA5" w:rsidP="00B66BA5">
            <w:pPr>
              <w:jc w:val="center"/>
              <w:rPr>
                <w:rFonts w:eastAsia="Times New Roman" w:cs="Times New Roman"/>
                <w:color w:val="000000"/>
                <w:sz w:val="18"/>
                <w:szCs w:val="18"/>
                <w:lang w:eastAsia="es-GT"/>
              </w:rPr>
            </w:pPr>
            <w:r>
              <w:rPr>
                <w:color w:val="000000"/>
                <w:sz w:val="18"/>
                <w:szCs w:val="18"/>
              </w:rPr>
              <w:t>-6.3</w:t>
            </w:r>
          </w:p>
        </w:tc>
      </w:tr>
      <w:tr w:rsidR="00B66BA5" w:rsidRPr="00844F46" w14:paraId="01DF1565" w14:textId="77777777" w:rsidTr="002700BC">
        <w:trPr>
          <w:trHeight w:val="255"/>
          <w:jc w:val="center"/>
        </w:trPr>
        <w:tc>
          <w:tcPr>
            <w:tcW w:w="3467" w:type="dxa"/>
            <w:tcBorders>
              <w:top w:val="nil"/>
              <w:left w:val="nil"/>
              <w:bottom w:val="nil"/>
              <w:right w:val="nil"/>
            </w:tcBorders>
            <w:shd w:val="clear" w:color="auto" w:fill="auto"/>
            <w:noWrap/>
            <w:vAlign w:val="center"/>
            <w:hideMark/>
          </w:tcPr>
          <w:p w14:paraId="1ACCB55E" w14:textId="77777777" w:rsidR="00B66BA5" w:rsidRPr="005E4085" w:rsidRDefault="00B66BA5" w:rsidP="00B66BA5">
            <w:pPr>
              <w:rPr>
                <w:rFonts w:eastAsia="Times New Roman" w:cs="Times New Roman"/>
                <w:b/>
                <w:bCs/>
                <w:color w:val="000000"/>
                <w:sz w:val="18"/>
                <w:szCs w:val="18"/>
                <w:lang w:eastAsia="es-GT"/>
              </w:rPr>
            </w:pPr>
            <w:r w:rsidRPr="005E4085">
              <w:rPr>
                <w:rFonts w:eastAsia="Times New Roman" w:cs="Times New Roman"/>
                <w:b/>
                <w:bCs/>
                <w:color w:val="000000"/>
                <w:sz w:val="18"/>
                <w:szCs w:val="18"/>
                <w:lang w:eastAsia="es-GT"/>
              </w:rPr>
              <w:t>Resultado Operativo Primario</w:t>
            </w:r>
          </w:p>
        </w:tc>
        <w:tc>
          <w:tcPr>
            <w:tcW w:w="945" w:type="dxa"/>
            <w:tcBorders>
              <w:top w:val="nil"/>
              <w:left w:val="nil"/>
              <w:bottom w:val="nil"/>
              <w:right w:val="nil"/>
            </w:tcBorders>
            <w:shd w:val="clear" w:color="auto" w:fill="auto"/>
            <w:noWrap/>
            <w:vAlign w:val="center"/>
            <w:hideMark/>
          </w:tcPr>
          <w:p w14:paraId="3A56A12E" w14:textId="6766DE53" w:rsidR="00B66BA5" w:rsidRPr="005E4085" w:rsidRDefault="00B66BA5" w:rsidP="00B66BA5">
            <w:pPr>
              <w:jc w:val="center"/>
              <w:rPr>
                <w:rFonts w:eastAsia="Times New Roman" w:cs="Times New Roman"/>
                <w:b/>
                <w:bCs/>
                <w:color w:val="000000"/>
                <w:sz w:val="18"/>
                <w:szCs w:val="18"/>
                <w:lang w:eastAsia="es-GT"/>
              </w:rPr>
            </w:pPr>
            <w:r>
              <w:rPr>
                <w:b/>
                <w:bCs/>
                <w:color w:val="000000"/>
                <w:sz w:val="18"/>
                <w:szCs w:val="18"/>
              </w:rPr>
              <w:t>-1,815.4</w:t>
            </w:r>
          </w:p>
        </w:tc>
        <w:tc>
          <w:tcPr>
            <w:tcW w:w="945" w:type="dxa"/>
            <w:tcBorders>
              <w:top w:val="nil"/>
              <w:left w:val="nil"/>
              <w:bottom w:val="nil"/>
              <w:right w:val="nil"/>
            </w:tcBorders>
            <w:shd w:val="clear" w:color="auto" w:fill="auto"/>
            <w:noWrap/>
            <w:vAlign w:val="center"/>
            <w:hideMark/>
          </w:tcPr>
          <w:p w14:paraId="287226DF" w14:textId="792A6633" w:rsidR="00B66BA5" w:rsidRPr="005E4085" w:rsidRDefault="00B66BA5" w:rsidP="00B66BA5">
            <w:pPr>
              <w:jc w:val="center"/>
              <w:rPr>
                <w:rFonts w:eastAsia="Times New Roman" w:cs="Times New Roman"/>
                <w:b/>
                <w:bCs/>
                <w:color w:val="000000"/>
                <w:sz w:val="18"/>
                <w:szCs w:val="18"/>
                <w:lang w:eastAsia="es-GT"/>
              </w:rPr>
            </w:pPr>
            <w:r>
              <w:rPr>
                <w:b/>
                <w:bCs/>
                <w:color w:val="000000"/>
                <w:sz w:val="18"/>
                <w:szCs w:val="18"/>
              </w:rPr>
              <w:t>5,093.4</w:t>
            </w:r>
          </w:p>
        </w:tc>
        <w:tc>
          <w:tcPr>
            <w:tcW w:w="945" w:type="dxa"/>
            <w:tcBorders>
              <w:top w:val="nil"/>
              <w:left w:val="dotDash" w:sz="4" w:space="0" w:color="auto"/>
              <w:bottom w:val="nil"/>
              <w:right w:val="nil"/>
            </w:tcBorders>
            <w:shd w:val="clear" w:color="auto" w:fill="auto"/>
            <w:noWrap/>
            <w:vAlign w:val="center"/>
            <w:hideMark/>
          </w:tcPr>
          <w:p w14:paraId="3E4A0597" w14:textId="0A1D12C1" w:rsidR="00B66BA5" w:rsidRPr="005E4085" w:rsidRDefault="00B66BA5" w:rsidP="00B66BA5">
            <w:pPr>
              <w:jc w:val="center"/>
              <w:rPr>
                <w:rFonts w:eastAsia="Times New Roman" w:cs="Times New Roman"/>
                <w:b/>
                <w:bCs/>
                <w:color w:val="000000"/>
                <w:sz w:val="18"/>
                <w:szCs w:val="18"/>
                <w:lang w:eastAsia="es-GT"/>
              </w:rPr>
            </w:pPr>
            <w:r>
              <w:rPr>
                <w:b/>
                <w:bCs/>
                <w:color w:val="000000"/>
                <w:sz w:val="18"/>
                <w:szCs w:val="18"/>
              </w:rPr>
              <w:t>6,908.8</w:t>
            </w:r>
          </w:p>
        </w:tc>
        <w:tc>
          <w:tcPr>
            <w:tcW w:w="911" w:type="dxa"/>
            <w:tcBorders>
              <w:top w:val="nil"/>
              <w:left w:val="nil"/>
              <w:bottom w:val="nil"/>
              <w:right w:val="nil"/>
            </w:tcBorders>
            <w:shd w:val="clear" w:color="auto" w:fill="auto"/>
            <w:noWrap/>
            <w:vAlign w:val="center"/>
            <w:hideMark/>
          </w:tcPr>
          <w:p w14:paraId="38C53DC2" w14:textId="7DFBE060" w:rsidR="00B66BA5" w:rsidRPr="005E4085" w:rsidRDefault="00B66BA5" w:rsidP="00B66BA5">
            <w:pPr>
              <w:jc w:val="center"/>
              <w:rPr>
                <w:rFonts w:eastAsia="Times New Roman" w:cs="Times New Roman"/>
                <w:b/>
                <w:bCs/>
                <w:color w:val="000000"/>
                <w:sz w:val="18"/>
                <w:szCs w:val="18"/>
                <w:lang w:eastAsia="es-GT"/>
              </w:rPr>
            </w:pPr>
            <w:r>
              <w:rPr>
                <w:b/>
                <w:bCs/>
                <w:color w:val="000000"/>
                <w:sz w:val="18"/>
                <w:szCs w:val="18"/>
              </w:rPr>
              <w:t>-380.6</w:t>
            </w:r>
          </w:p>
        </w:tc>
      </w:tr>
      <w:tr w:rsidR="00B66BA5" w:rsidRPr="00844F46" w14:paraId="2A9BDB90" w14:textId="77777777" w:rsidTr="002700BC">
        <w:trPr>
          <w:trHeight w:val="255"/>
          <w:jc w:val="center"/>
        </w:trPr>
        <w:tc>
          <w:tcPr>
            <w:tcW w:w="3467" w:type="dxa"/>
            <w:tcBorders>
              <w:top w:val="nil"/>
              <w:left w:val="nil"/>
              <w:bottom w:val="nil"/>
              <w:right w:val="nil"/>
            </w:tcBorders>
            <w:shd w:val="clear" w:color="auto" w:fill="auto"/>
            <w:noWrap/>
            <w:vAlign w:val="center"/>
            <w:hideMark/>
          </w:tcPr>
          <w:p w14:paraId="664475F7" w14:textId="77777777" w:rsidR="00B66BA5" w:rsidRPr="005E4085" w:rsidRDefault="00B66BA5" w:rsidP="00B66BA5">
            <w:pPr>
              <w:rPr>
                <w:rFonts w:eastAsia="Times New Roman" w:cs="Times New Roman"/>
                <w:b/>
                <w:bCs/>
                <w:color w:val="000000"/>
                <w:sz w:val="18"/>
                <w:szCs w:val="18"/>
                <w:lang w:eastAsia="es-GT"/>
              </w:rPr>
            </w:pPr>
            <w:r w:rsidRPr="005E4085">
              <w:rPr>
                <w:rFonts w:eastAsia="Times New Roman" w:cs="Times New Roman"/>
                <w:b/>
                <w:bCs/>
                <w:color w:val="000000"/>
                <w:sz w:val="18"/>
                <w:szCs w:val="18"/>
                <w:lang w:eastAsia="es-GT"/>
              </w:rPr>
              <w:t>Resultado Operativo</w:t>
            </w:r>
          </w:p>
        </w:tc>
        <w:tc>
          <w:tcPr>
            <w:tcW w:w="945" w:type="dxa"/>
            <w:tcBorders>
              <w:top w:val="nil"/>
              <w:left w:val="nil"/>
              <w:bottom w:val="nil"/>
              <w:right w:val="nil"/>
            </w:tcBorders>
            <w:shd w:val="clear" w:color="auto" w:fill="auto"/>
            <w:noWrap/>
            <w:vAlign w:val="center"/>
            <w:hideMark/>
          </w:tcPr>
          <w:p w14:paraId="6B6E805D" w14:textId="027617D9" w:rsidR="00B66BA5" w:rsidRPr="005E4085" w:rsidRDefault="00B66BA5" w:rsidP="00B66BA5">
            <w:pPr>
              <w:jc w:val="center"/>
              <w:rPr>
                <w:rFonts w:eastAsia="Times New Roman" w:cs="Times New Roman"/>
                <w:b/>
                <w:bCs/>
                <w:color w:val="000000"/>
                <w:sz w:val="18"/>
                <w:szCs w:val="18"/>
                <w:lang w:eastAsia="es-GT"/>
              </w:rPr>
            </w:pPr>
            <w:r>
              <w:rPr>
                <w:b/>
                <w:bCs/>
                <w:color w:val="000000"/>
                <w:sz w:val="18"/>
                <w:szCs w:val="18"/>
              </w:rPr>
              <w:t>-6,568.2</w:t>
            </w:r>
          </w:p>
        </w:tc>
        <w:tc>
          <w:tcPr>
            <w:tcW w:w="945" w:type="dxa"/>
            <w:tcBorders>
              <w:top w:val="nil"/>
              <w:left w:val="nil"/>
              <w:bottom w:val="nil"/>
              <w:right w:val="nil"/>
            </w:tcBorders>
            <w:shd w:val="clear" w:color="auto" w:fill="auto"/>
            <w:noWrap/>
            <w:vAlign w:val="center"/>
            <w:hideMark/>
          </w:tcPr>
          <w:p w14:paraId="093F5564" w14:textId="78B1220D" w:rsidR="00B66BA5" w:rsidRPr="005E4085" w:rsidRDefault="00B66BA5" w:rsidP="00B66BA5">
            <w:pPr>
              <w:jc w:val="center"/>
              <w:rPr>
                <w:rFonts w:eastAsia="Times New Roman" w:cs="Times New Roman"/>
                <w:b/>
                <w:bCs/>
                <w:color w:val="000000"/>
                <w:sz w:val="18"/>
                <w:szCs w:val="18"/>
                <w:lang w:eastAsia="es-GT"/>
              </w:rPr>
            </w:pPr>
            <w:r>
              <w:rPr>
                <w:b/>
                <w:bCs/>
                <w:color w:val="000000"/>
                <w:sz w:val="18"/>
                <w:szCs w:val="18"/>
              </w:rPr>
              <w:t>-411.3</w:t>
            </w:r>
          </w:p>
        </w:tc>
        <w:tc>
          <w:tcPr>
            <w:tcW w:w="945" w:type="dxa"/>
            <w:tcBorders>
              <w:top w:val="nil"/>
              <w:left w:val="dotDash" w:sz="4" w:space="0" w:color="auto"/>
              <w:bottom w:val="nil"/>
              <w:right w:val="nil"/>
            </w:tcBorders>
            <w:shd w:val="clear" w:color="auto" w:fill="auto"/>
            <w:noWrap/>
            <w:vAlign w:val="center"/>
            <w:hideMark/>
          </w:tcPr>
          <w:p w14:paraId="5DBB9C7E" w14:textId="0BFA3564" w:rsidR="00B66BA5" w:rsidRPr="005E4085" w:rsidRDefault="00B66BA5" w:rsidP="00B66BA5">
            <w:pPr>
              <w:jc w:val="center"/>
              <w:rPr>
                <w:rFonts w:eastAsia="Times New Roman" w:cs="Times New Roman"/>
                <w:b/>
                <w:bCs/>
                <w:color w:val="000000"/>
                <w:sz w:val="18"/>
                <w:szCs w:val="18"/>
                <w:lang w:eastAsia="es-GT"/>
              </w:rPr>
            </w:pPr>
            <w:r>
              <w:rPr>
                <w:b/>
                <w:bCs/>
                <w:color w:val="000000"/>
                <w:sz w:val="18"/>
                <w:szCs w:val="18"/>
              </w:rPr>
              <w:t>6,156.8</w:t>
            </w:r>
          </w:p>
        </w:tc>
        <w:tc>
          <w:tcPr>
            <w:tcW w:w="911" w:type="dxa"/>
            <w:tcBorders>
              <w:top w:val="nil"/>
              <w:left w:val="nil"/>
              <w:bottom w:val="nil"/>
              <w:right w:val="nil"/>
            </w:tcBorders>
            <w:shd w:val="clear" w:color="auto" w:fill="auto"/>
            <w:noWrap/>
            <w:vAlign w:val="center"/>
            <w:hideMark/>
          </w:tcPr>
          <w:p w14:paraId="016F6C56" w14:textId="3DA8EAE9" w:rsidR="00B66BA5" w:rsidRPr="005E4085" w:rsidRDefault="00B66BA5" w:rsidP="00B66BA5">
            <w:pPr>
              <w:jc w:val="center"/>
              <w:rPr>
                <w:rFonts w:eastAsia="Times New Roman" w:cs="Times New Roman"/>
                <w:b/>
                <w:bCs/>
                <w:color w:val="000000"/>
                <w:sz w:val="18"/>
                <w:szCs w:val="18"/>
                <w:lang w:eastAsia="es-GT"/>
              </w:rPr>
            </w:pPr>
            <w:r>
              <w:rPr>
                <w:b/>
                <w:bCs/>
                <w:color w:val="000000"/>
                <w:sz w:val="18"/>
                <w:szCs w:val="18"/>
              </w:rPr>
              <w:t>-93.7</w:t>
            </w:r>
          </w:p>
        </w:tc>
      </w:tr>
      <w:tr w:rsidR="00844F46" w:rsidRPr="00844F46" w14:paraId="77085E0E" w14:textId="77777777" w:rsidTr="002700BC">
        <w:trPr>
          <w:trHeight w:val="267"/>
          <w:jc w:val="center"/>
        </w:trPr>
        <w:tc>
          <w:tcPr>
            <w:tcW w:w="7213" w:type="dxa"/>
            <w:gridSpan w:val="5"/>
            <w:tcBorders>
              <w:top w:val="single" w:sz="8" w:space="0" w:color="auto"/>
              <w:left w:val="nil"/>
              <w:bottom w:val="double" w:sz="6" w:space="0" w:color="auto"/>
              <w:right w:val="nil"/>
            </w:tcBorders>
            <w:shd w:val="clear" w:color="auto" w:fill="auto"/>
            <w:noWrap/>
            <w:vAlign w:val="center"/>
            <w:hideMark/>
          </w:tcPr>
          <w:p w14:paraId="4F331DBB" w14:textId="77777777" w:rsidR="00844F46" w:rsidRPr="00844F46" w:rsidRDefault="00844F46" w:rsidP="00844F46">
            <w:pPr>
              <w:rPr>
                <w:rFonts w:eastAsia="Times New Roman" w:cs="Times New Roman"/>
                <w:b/>
                <w:bCs/>
                <w:color w:val="4472C4"/>
                <w:sz w:val="18"/>
                <w:szCs w:val="18"/>
                <w:lang w:eastAsia="es-GT"/>
              </w:rPr>
            </w:pPr>
            <w:r w:rsidRPr="00844F46">
              <w:rPr>
                <w:rFonts w:eastAsia="Times New Roman" w:cs="Times New Roman"/>
                <w:b/>
                <w:bCs/>
                <w:color w:val="4472C4"/>
                <w:sz w:val="18"/>
                <w:szCs w:val="18"/>
                <w:lang w:eastAsia="es-GT"/>
              </w:rPr>
              <w:t>TRANSACCIONES EN ACTIVOS NO FINANCIEROS</w:t>
            </w:r>
          </w:p>
        </w:tc>
      </w:tr>
      <w:tr w:rsidR="00B66BA5" w:rsidRPr="00844F46" w14:paraId="7A3A78CB" w14:textId="77777777" w:rsidTr="002700BC">
        <w:trPr>
          <w:trHeight w:val="267"/>
          <w:jc w:val="center"/>
        </w:trPr>
        <w:tc>
          <w:tcPr>
            <w:tcW w:w="3467" w:type="dxa"/>
            <w:tcBorders>
              <w:top w:val="nil"/>
              <w:left w:val="nil"/>
              <w:bottom w:val="nil"/>
              <w:right w:val="nil"/>
            </w:tcBorders>
            <w:shd w:val="clear" w:color="auto" w:fill="auto"/>
            <w:noWrap/>
            <w:vAlign w:val="center"/>
            <w:hideMark/>
          </w:tcPr>
          <w:p w14:paraId="170D3819" w14:textId="77777777" w:rsidR="00B66BA5" w:rsidRPr="00844F46" w:rsidRDefault="00B66BA5" w:rsidP="00B66BA5">
            <w:pPr>
              <w:rPr>
                <w:rFonts w:eastAsia="Times New Roman" w:cs="Times New Roman"/>
                <w:color w:val="000000"/>
                <w:sz w:val="18"/>
                <w:szCs w:val="18"/>
                <w:lang w:eastAsia="es-GT"/>
              </w:rPr>
            </w:pPr>
            <w:r w:rsidRPr="00844F46">
              <w:rPr>
                <w:rFonts w:eastAsia="Times New Roman" w:cs="Times New Roman"/>
                <w:color w:val="000000"/>
                <w:sz w:val="18"/>
                <w:szCs w:val="18"/>
                <w:lang w:eastAsia="es-GT"/>
              </w:rPr>
              <w:t>Inversión bruta en activos no financieros</w:t>
            </w:r>
          </w:p>
        </w:tc>
        <w:tc>
          <w:tcPr>
            <w:tcW w:w="945" w:type="dxa"/>
            <w:tcBorders>
              <w:top w:val="nil"/>
              <w:left w:val="nil"/>
              <w:bottom w:val="nil"/>
              <w:right w:val="nil"/>
            </w:tcBorders>
            <w:shd w:val="clear" w:color="auto" w:fill="auto"/>
            <w:noWrap/>
            <w:vAlign w:val="center"/>
            <w:hideMark/>
          </w:tcPr>
          <w:p w14:paraId="712DD80B" w14:textId="288C8F4E" w:rsidR="00B66BA5" w:rsidRPr="00844F46" w:rsidRDefault="00B66BA5" w:rsidP="00B66BA5">
            <w:pPr>
              <w:jc w:val="center"/>
              <w:rPr>
                <w:rFonts w:eastAsia="Times New Roman" w:cs="Times New Roman"/>
                <w:color w:val="000000"/>
                <w:sz w:val="18"/>
                <w:szCs w:val="18"/>
                <w:lang w:eastAsia="es-GT"/>
              </w:rPr>
            </w:pPr>
            <w:r>
              <w:rPr>
                <w:color w:val="000000"/>
                <w:sz w:val="18"/>
                <w:szCs w:val="18"/>
              </w:rPr>
              <w:t>1,347.6</w:t>
            </w:r>
          </w:p>
        </w:tc>
        <w:tc>
          <w:tcPr>
            <w:tcW w:w="945" w:type="dxa"/>
            <w:tcBorders>
              <w:top w:val="nil"/>
              <w:left w:val="nil"/>
              <w:bottom w:val="nil"/>
              <w:right w:val="nil"/>
            </w:tcBorders>
            <w:shd w:val="clear" w:color="auto" w:fill="auto"/>
            <w:noWrap/>
            <w:vAlign w:val="center"/>
            <w:hideMark/>
          </w:tcPr>
          <w:p w14:paraId="06C60A59" w14:textId="626C2FE9" w:rsidR="00B66BA5" w:rsidRPr="00844F46" w:rsidRDefault="00B66BA5" w:rsidP="00B66BA5">
            <w:pPr>
              <w:jc w:val="center"/>
              <w:rPr>
                <w:rFonts w:eastAsia="Times New Roman" w:cs="Times New Roman"/>
                <w:color w:val="000000"/>
                <w:sz w:val="18"/>
                <w:szCs w:val="18"/>
                <w:lang w:eastAsia="es-GT"/>
              </w:rPr>
            </w:pPr>
            <w:r>
              <w:rPr>
                <w:color w:val="000000"/>
                <w:sz w:val="18"/>
                <w:szCs w:val="18"/>
              </w:rPr>
              <w:t>1,430.7</w:t>
            </w:r>
          </w:p>
        </w:tc>
        <w:tc>
          <w:tcPr>
            <w:tcW w:w="945" w:type="dxa"/>
            <w:tcBorders>
              <w:top w:val="double" w:sz="6" w:space="0" w:color="auto"/>
              <w:left w:val="dotDash" w:sz="4" w:space="0" w:color="auto"/>
              <w:bottom w:val="nil"/>
              <w:right w:val="nil"/>
            </w:tcBorders>
            <w:shd w:val="clear" w:color="auto" w:fill="auto"/>
            <w:noWrap/>
            <w:vAlign w:val="center"/>
            <w:hideMark/>
          </w:tcPr>
          <w:p w14:paraId="76879E9E" w14:textId="49386197" w:rsidR="00B66BA5" w:rsidRPr="00844F46" w:rsidRDefault="00B66BA5" w:rsidP="00B66BA5">
            <w:pPr>
              <w:jc w:val="center"/>
              <w:rPr>
                <w:rFonts w:eastAsia="Times New Roman" w:cs="Times New Roman"/>
                <w:color w:val="000000"/>
                <w:sz w:val="18"/>
                <w:szCs w:val="18"/>
                <w:lang w:eastAsia="es-GT"/>
              </w:rPr>
            </w:pPr>
            <w:r>
              <w:rPr>
                <w:color w:val="000000"/>
                <w:sz w:val="18"/>
                <w:szCs w:val="18"/>
              </w:rPr>
              <w:t>83.0</w:t>
            </w:r>
          </w:p>
        </w:tc>
        <w:tc>
          <w:tcPr>
            <w:tcW w:w="911" w:type="dxa"/>
            <w:tcBorders>
              <w:top w:val="nil"/>
              <w:left w:val="nil"/>
              <w:bottom w:val="nil"/>
              <w:right w:val="nil"/>
            </w:tcBorders>
            <w:shd w:val="clear" w:color="auto" w:fill="auto"/>
            <w:noWrap/>
            <w:vAlign w:val="center"/>
            <w:hideMark/>
          </w:tcPr>
          <w:p w14:paraId="4BDD0CA2" w14:textId="365B8119" w:rsidR="00B66BA5" w:rsidRPr="00844F46" w:rsidRDefault="00B66BA5" w:rsidP="00B66BA5">
            <w:pPr>
              <w:jc w:val="center"/>
              <w:rPr>
                <w:rFonts w:eastAsia="Times New Roman" w:cs="Times New Roman"/>
                <w:color w:val="000000"/>
                <w:sz w:val="18"/>
                <w:szCs w:val="18"/>
                <w:lang w:eastAsia="es-GT"/>
              </w:rPr>
            </w:pPr>
            <w:r>
              <w:rPr>
                <w:color w:val="000000"/>
                <w:sz w:val="18"/>
                <w:szCs w:val="18"/>
              </w:rPr>
              <w:t>6.2</w:t>
            </w:r>
          </w:p>
        </w:tc>
      </w:tr>
      <w:tr w:rsidR="00B66BA5" w:rsidRPr="00844F46" w14:paraId="01D8AC3E" w14:textId="77777777" w:rsidTr="002700BC">
        <w:trPr>
          <w:trHeight w:val="255"/>
          <w:jc w:val="center"/>
        </w:trPr>
        <w:tc>
          <w:tcPr>
            <w:tcW w:w="3467" w:type="dxa"/>
            <w:tcBorders>
              <w:top w:val="nil"/>
              <w:left w:val="nil"/>
              <w:bottom w:val="nil"/>
              <w:right w:val="nil"/>
            </w:tcBorders>
            <w:shd w:val="clear" w:color="auto" w:fill="auto"/>
            <w:noWrap/>
            <w:vAlign w:val="center"/>
            <w:hideMark/>
          </w:tcPr>
          <w:p w14:paraId="3038EAB3" w14:textId="77777777" w:rsidR="00B66BA5" w:rsidRPr="00844F46" w:rsidRDefault="00B66BA5" w:rsidP="00B66BA5">
            <w:pPr>
              <w:rPr>
                <w:rFonts w:eastAsia="Times New Roman" w:cs="Times New Roman"/>
                <w:color w:val="000000"/>
                <w:sz w:val="18"/>
                <w:szCs w:val="18"/>
                <w:lang w:eastAsia="es-GT"/>
              </w:rPr>
            </w:pPr>
            <w:r w:rsidRPr="00844F46">
              <w:rPr>
                <w:rFonts w:eastAsia="Times New Roman" w:cs="Times New Roman"/>
                <w:color w:val="000000"/>
                <w:sz w:val="18"/>
                <w:szCs w:val="18"/>
                <w:lang w:eastAsia="es-GT"/>
              </w:rPr>
              <w:t>Erogación</w:t>
            </w:r>
          </w:p>
        </w:tc>
        <w:tc>
          <w:tcPr>
            <w:tcW w:w="945" w:type="dxa"/>
            <w:tcBorders>
              <w:top w:val="nil"/>
              <w:left w:val="nil"/>
              <w:bottom w:val="nil"/>
              <w:right w:val="nil"/>
            </w:tcBorders>
            <w:shd w:val="clear" w:color="auto" w:fill="auto"/>
            <w:noWrap/>
            <w:vAlign w:val="center"/>
            <w:hideMark/>
          </w:tcPr>
          <w:p w14:paraId="12909EAF" w14:textId="5E9B15E9" w:rsidR="00B66BA5" w:rsidRPr="00844F46" w:rsidRDefault="00B66BA5" w:rsidP="00B66BA5">
            <w:pPr>
              <w:jc w:val="center"/>
              <w:rPr>
                <w:rFonts w:eastAsia="Times New Roman" w:cs="Times New Roman"/>
                <w:color w:val="000000"/>
                <w:sz w:val="18"/>
                <w:szCs w:val="18"/>
                <w:lang w:eastAsia="es-GT"/>
              </w:rPr>
            </w:pPr>
            <w:r>
              <w:rPr>
                <w:color w:val="000000"/>
                <w:sz w:val="18"/>
                <w:szCs w:val="18"/>
              </w:rPr>
              <w:t>39,237.9</w:t>
            </w:r>
          </w:p>
        </w:tc>
        <w:tc>
          <w:tcPr>
            <w:tcW w:w="945" w:type="dxa"/>
            <w:tcBorders>
              <w:top w:val="nil"/>
              <w:left w:val="nil"/>
              <w:bottom w:val="nil"/>
              <w:right w:val="nil"/>
            </w:tcBorders>
            <w:shd w:val="clear" w:color="auto" w:fill="auto"/>
            <w:noWrap/>
            <w:vAlign w:val="center"/>
            <w:hideMark/>
          </w:tcPr>
          <w:p w14:paraId="51246841" w14:textId="04A50E69" w:rsidR="00B66BA5" w:rsidRPr="00844F46" w:rsidRDefault="00B66BA5" w:rsidP="00B66BA5">
            <w:pPr>
              <w:jc w:val="center"/>
              <w:rPr>
                <w:rFonts w:eastAsia="Times New Roman" w:cs="Times New Roman"/>
                <w:color w:val="000000"/>
                <w:sz w:val="18"/>
                <w:szCs w:val="18"/>
                <w:lang w:eastAsia="es-GT"/>
              </w:rPr>
            </w:pPr>
            <w:r>
              <w:rPr>
                <w:color w:val="000000"/>
                <w:sz w:val="18"/>
                <w:szCs w:val="18"/>
              </w:rPr>
              <w:t>40,840.2</w:t>
            </w:r>
          </w:p>
        </w:tc>
        <w:tc>
          <w:tcPr>
            <w:tcW w:w="945" w:type="dxa"/>
            <w:tcBorders>
              <w:top w:val="nil"/>
              <w:left w:val="dotDash" w:sz="4" w:space="0" w:color="auto"/>
              <w:bottom w:val="nil"/>
              <w:right w:val="nil"/>
            </w:tcBorders>
            <w:shd w:val="clear" w:color="auto" w:fill="auto"/>
            <w:noWrap/>
            <w:vAlign w:val="center"/>
            <w:hideMark/>
          </w:tcPr>
          <w:p w14:paraId="7CC066CB" w14:textId="215C655D" w:rsidR="00B66BA5" w:rsidRPr="00844F46" w:rsidRDefault="00B66BA5" w:rsidP="00B66BA5">
            <w:pPr>
              <w:jc w:val="center"/>
              <w:rPr>
                <w:rFonts w:eastAsia="Times New Roman" w:cs="Times New Roman"/>
                <w:color w:val="000000"/>
                <w:sz w:val="18"/>
                <w:szCs w:val="18"/>
                <w:lang w:eastAsia="es-GT"/>
              </w:rPr>
            </w:pPr>
            <w:r>
              <w:rPr>
                <w:color w:val="000000"/>
                <w:sz w:val="18"/>
                <w:szCs w:val="18"/>
              </w:rPr>
              <w:t>1,602.3</w:t>
            </w:r>
          </w:p>
        </w:tc>
        <w:tc>
          <w:tcPr>
            <w:tcW w:w="911" w:type="dxa"/>
            <w:tcBorders>
              <w:top w:val="nil"/>
              <w:left w:val="nil"/>
              <w:bottom w:val="nil"/>
              <w:right w:val="nil"/>
            </w:tcBorders>
            <w:shd w:val="clear" w:color="auto" w:fill="auto"/>
            <w:noWrap/>
            <w:vAlign w:val="center"/>
            <w:hideMark/>
          </w:tcPr>
          <w:p w14:paraId="7C346A23" w14:textId="2FB86A79" w:rsidR="00B66BA5" w:rsidRPr="00844F46" w:rsidRDefault="00B66BA5" w:rsidP="00B66BA5">
            <w:pPr>
              <w:jc w:val="center"/>
              <w:rPr>
                <w:rFonts w:eastAsia="Times New Roman" w:cs="Times New Roman"/>
                <w:color w:val="000000"/>
                <w:sz w:val="18"/>
                <w:szCs w:val="18"/>
                <w:lang w:eastAsia="es-GT"/>
              </w:rPr>
            </w:pPr>
            <w:r>
              <w:rPr>
                <w:color w:val="000000"/>
                <w:sz w:val="18"/>
                <w:szCs w:val="18"/>
              </w:rPr>
              <w:t>4.1</w:t>
            </w:r>
          </w:p>
        </w:tc>
      </w:tr>
      <w:tr w:rsidR="00B66BA5" w:rsidRPr="00844F46" w14:paraId="70F1CFD0" w14:textId="77777777" w:rsidTr="002700BC">
        <w:trPr>
          <w:trHeight w:val="255"/>
          <w:jc w:val="center"/>
        </w:trPr>
        <w:tc>
          <w:tcPr>
            <w:tcW w:w="3467" w:type="dxa"/>
            <w:tcBorders>
              <w:top w:val="nil"/>
              <w:left w:val="nil"/>
              <w:bottom w:val="nil"/>
              <w:right w:val="nil"/>
            </w:tcBorders>
            <w:shd w:val="clear" w:color="auto" w:fill="auto"/>
            <w:noWrap/>
            <w:vAlign w:val="center"/>
            <w:hideMark/>
          </w:tcPr>
          <w:p w14:paraId="70546CCF" w14:textId="77777777" w:rsidR="00B66BA5" w:rsidRPr="00844F46" w:rsidRDefault="00B66BA5" w:rsidP="00B66BA5">
            <w:pPr>
              <w:rPr>
                <w:rFonts w:eastAsia="Times New Roman" w:cs="Times New Roman"/>
                <w:b/>
                <w:bCs/>
                <w:color w:val="000000"/>
                <w:sz w:val="18"/>
                <w:szCs w:val="18"/>
                <w:lang w:eastAsia="es-GT"/>
              </w:rPr>
            </w:pPr>
            <w:r w:rsidRPr="00844F46">
              <w:rPr>
                <w:rFonts w:eastAsia="Times New Roman" w:cs="Times New Roman"/>
                <w:b/>
                <w:bCs/>
                <w:color w:val="000000"/>
                <w:sz w:val="18"/>
                <w:szCs w:val="18"/>
                <w:lang w:eastAsia="es-GT"/>
              </w:rPr>
              <w:t>Resultado Primario</w:t>
            </w:r>
          </w:p>
        </w:tc>
        <w:tc>
          <w:tcPr>
            <w:tcW w:w="945" w:type="dxa"/>
            <w:tcBorders>
              <w:top w:val="nil"/>
              <w:left w:val="nil"/>
              <w:bottom w:val="nil"/>
              <w:right w:val="nil"/>
            </w:tcBorders>
            <w:shd w:val="clear" w:color="auto" w:fill="auto"/>
            <w:noWrap/>
            <w:vAlign w:val="center"/>
            <w:hideMark/>
          </w:tcPr>
          <w:p w14:paraId="71DF3A6F" w14:textId="3FF2ECDB" w:rsidR="00B66BA5" w:rsidRPr="00844F46" w:rsidRDefault="00B66BA5" w:rsidP="00B66BA5">
            <w:pPr>
              <w:jc w:val="center"/>
              <w:rPr>
                <w:rFonts w:eastAsia="Times New Roman" w:cs="Times New Roman"/>
                <w:b/>
                <w:bCs/>
                <w:color w:val="000000"/>
                <w:sz w:val="18"/>
                <w:szCs w:val="18"/>
                <w:lang w:eastAsia="es-GT"/>
              </w:rPr>
            </w:pPr>
            <w:r>
              <w:rPr>
                <w:b/>
                <w:bCs/>
                <w:color w:val="000000"/>
                <w:sz w:val="18"/>
                <w:szCs w:val="18"/>
              </w:rPr>
              <w:t>-3,163.0</w:t>
            </w:r>
          </w:p>
        </w:tc>
        <w:tc>
          <w:tcPr>
            <w:tcW w:w="945" w:type="dxa"/>
            <w:tcBorders>
              <w:top w:val="nil"/>
              <w:left w:val="nil"/>
              <w:bottom w:val="nil"/>
              <w:right w:val="nil"/>
            </w:tcBorders>
            <w:shd w:val="clear" w:color="auto" w:fill="auto"/>
            <w:noWrap/>
            <w:vAlign w:val="center"/>
            <w:hideMark/>
          </w:tcPr>
          <w:p w14:paraId="1BD1A133" w14:textId="61EA5E4C" w:rsidR="00B66BA5" w:rsidRPr="00844F46" w:rsidRDefault="00B66BA5" w:rsidP="00B66BA5">
            <w:pPr>
              <w:jc w:val="center"/>
              <w:rPr>
                <w:rFonts w:eastAsia="Times New Roman" w:cs="Times New Roman"/>
                <w:b/>
                <w:bCs/>
                <w:color w:val="000000"/>
                <w:sz w:val="18"/>
                <w:szCs w:val="18"/>
                <w:lang w:eastAsia="es-GT"/>
              </w:rPr>
            </w:pPr>
            <w:r>
              <w:rPr>
                <w:b/>
                <w:bCs/>
                <w:color w:val="000000"/>
                <w:sz w:val="18"/>
                <w:szCs w:val="18"/>
              </w:rPr>
              <w:t>3,662.8</w:t>
            </w:r>
          </w:p>
        </w:tc>
        <w:tc>
          <w:tcPr>
            <w:tcW w:w="945" w:type="dxa"/>
            <w:tcBorders>
              <w:top w:val="nil"/>
              <w:left w:val="dotDash" w:sz="4" w:space="0" w:color="auto"/>
              <w:bottom w:val="nil"/>
              <w:right w:val="nil"/>
            </w:tcBorders>
            <w:shd w:val="clear" w:color="auto" w:fill="auto"/>
            <w:noWrap/>
            <w:vAlign w:val="center"/>
            <w:hideMark/>
          </w:tcPr>
          <w:p w14:paraId="5421D228" w14:textId="18AE6A12" w:rsidR="00B66BA5" w:rsidRPr="00844F46" w:rsidRDefault="00B66BA5" w:rsidP="00B66BA5">
            <w:pPr>
              <w:jc w:val="center"/>
              <w:rPr>
                <w:rFonts w:eastAsia="Times New Roman" w:cs="Times New Roman"/>
                <w:b/>
                <w:bCs/>
                <w:color w:val="000000"/>
                <w:sz w:val="18"/>
                <w:szCs w:val="18"/>
                <w:lang w:eastAsia="es-GT"/>
              </w:rPr>
            </w:pPr>
            <w:r>
              <w:rPr>
                <w:b/>
                <w:bCs/>
                <w:color w:val="000000"/>
                <w:sz w:val="18"/>
                <w:szCs w:val="18"/>
              </w:rPr>
              <w:t>6,825.7</w:t>
            </w:r>
          </w:p>
        </w:tc>
        <w:tc>
          <w:tcPr>
            <w:tcW w:w="911" w:type="dxa"/>
            <w:tcBorders>
              <w:top w:val="nil"/>
              <w:left w:val="nil"/>
              <w:bottom w:val="nil"/>
              <w:right w:val="nil"/>
            </w:tcBorders>
            <w:shd w:val="clear" w:color="auto" w:fill="auto"/>
            <w:noWrap/>
            <w:vAlign w:val="center"/>
            <w:hideMark/>
          </w:tcPr>
          <w:p w14:paraId="30881DF3" w14:textId="746FADF3" w:rsidR="00B66BA5" w:rsidRPr="00844F46" w:rsidRDefault="00B66BA5" w:rsidP="00B66BA5">
            <w:pPr>
              <w:jc w:val="center"/>
              <w:rPr>
                <w:rFonts w:eastAsia="Times New Roman" w:cs="Times New Roman"/>
                <w:b/>
                <w:bCs/>
                <w:color w:val="000000"/>
                <w:sz w:val="18"/>
                <w:szCs w:val="18"/>
                <w:lang w:eastAsia="es-GT"/>
              </w:rPr>
            </w:pPr>
            <w:r>
              <w:rPr>
                <w:b/>
                <w:bCs/>
                <w:color w:val="000000"/>
                <w:sz w:val="18"/>
                <w:szCs w:val="18"/>
              </w:rPr>
              <w:t>-215.8</w:t>
            </w:r>
          </w:p>
        </w:tc>
      </w:tr>
      <w:tr w:rsidR="00B66BA5" w:rsidRPr="00844F46" w14:paraId="7EDB2478" w14:textId="77777777" w:rsidTr="002700BC">
        <w:trPr>
          <w:trHeight w:val="255"/>
          <w:jc w:val="center"/>
        </w:trPr>
        <w:tc>
          <w:tcPr>
            <w:tcW w:w="3467" w:type="dxa"/>
            <w:tcBorders>
              <w:top w:val="nil"/>
              <w:left w:val="nil"/>
              <w:bottom w:val="nil"/>
              <w:right w:val="nil"/>
            </w:tcBorders>
            <w:shd w:val="clear" w:color="auto" w:fill="auto"/>
            <w:noWrap/>
            <w:vAlign w:val="center"/>
            <w:hideMark/>
          </w:tcPr>
          <w:p w14:paraId="07BE44EB" w14:textId="77777777" w:rsidR="00B66BA5" w:rsidRPr="00844F46" w:rsidRDefault="00B66BA5" w:rsidP="00B66BA5">
            <w:pPr>
              <w:rPr>
                <w:rFonts w:eastAsia="Times New Roman" w:cs="Times New Roman"/>
                <w:b/>
                <w:bCs/>
                <w:color w:val="000000"/>
                <w:sz w:val="18"/>
                <w:szCs w:val="18"/>
                <w:lang w:eastAsia="es-GT"/>
              </w:rPr>
            </w:pPr>
            <w:r w:rsidRPr="00844F46">
              <w:rPr>
                <w:rFonts w:eastAsia="Times New Roman" w:cs="Times New Roman"/>
                <w:b/>
                <w:bCs/>
                <w:color w:val="000000"/>
                <w:sz w:val="18"/>
                <w:szCs w:val="18"/>
                <w:lang w:eastAsia="es-GT"/>
              </w:rPr>
              <w:t>Préstamo (+) / endeudamiento (-)</w:t>
            </w:r>
          </w:p>
        </w:tc>
        <w:tc>
          <w:tcPr>
            <w:tcW w:w="945" w:type="dxa"/>
            <w:tcBorders>
              <w:top w:val="nil"/>
              <w:left w:val="nil"/>
              <w:bottom w:val="nil"/>
              <w:right w:val="nil"/>
            </w:tcBorders>
            <w:shd w:val="clear" w:color="auto" w:fill="auto"/>
            <w:noWrap/>
            <w:vAlign w:val="center"/>
            <w:hideMark/>
          </w:tcPr>
          <w:p w14:paraId="2966A3A5" w14:textId="41762B9B" w:rsidR="00B66BA5" w:rsidRPr="00844F46" w:rsidRDefault="00B66BA5" w:rsidP="00B66BA5">
            <w:pPr>
              <w:jc w:val="center"/>
              <w:rPr>
                <w:rFonts w:eastAsia="Times New Roman" w:cs="Times New Roman"/>
                <w:b/>
                <w:bCs/>
                <w:color w:val="000000"/>
                <w:sz w:val="18"/>
                <w:szCs w:val="18"/>
                <w:lang w:eastAsia="es-GT"/>
              </w:rPr>
            </w:pPr>
            <w:r>
              <w:rPr>
                <w:b/>
                <w:bCs/>
                <w:color w:val="000000"/>
                <w:sz w:val="18"/>
                <w:szCs w:val="18"/>
              </w:rPr>
              <w:t>-7,915.8</w:t>
            </w:r>
          </w:p>
        </w:tc>
        <w:tc>
          <w:tcPr>
            <w:tcW w:w="945" w:type="dxa"/>
            <w:tcBorders>
              <w:top w:val="nil"/>
              <w:left w:val="nil"/>
              <w:bottom w:val="nil"/>
              <w:right w:val="nil"/>
            </w:tcBorders>
            <w:shd w:val="clear" w:color="auto" w:fill="auto"/>
            <w:noWrap/>
            <w:vAlign w:val="center"/>
            <w:hideMark/>
          </w:tcPr>
          <w:p w14:paraId="61A0B43A" w14:textId="0A450F23" w:rsidR="00B66BA5" w:rsidRPr="00844F46" w:rsidRDefault="00B66BA5" w:rsidP="00B66BA5">
            <w:pPr>
              <w:jc w:val="center"/>
              <w:rPr>
                <w:rFonts w:eastAsia="Times New Roman" w:cs="Times New Roman"/>
                <w:b/>
                <w:bCs/>
                <w:color w:val="000000"/>
                <w:sz w:val="18"/>
                <w:szCs w:val="18"/>
                <w:lang w:eastAsia="es-GT"/>
              </w:rPr>
            </w:pPr>
            <w:r>
              <w:rPr>
                <w:b/>
                <w:bCs/>
                <w:color w:val="000000"/>
                <w:sz w:val="18"/>
                <w:szCs w:val="18"/>
              </w:rPr>
              <w:t>-1,842.0</w:t>
            </w:r>
          </w:p>
        </w:tc>
        <w:tc>
          <w:tcPr>
            <w:tcW w:w="945" w:type="dxa"/>
            <w:tcBorders>
              <w:top w:val="nil"/>
              <w:left w:val="dotDash" w:sz="4" w:space="0" w:color="auto"/>
              <w:bottom w:val="nil"/>
              <w:right w:val="nil"/>
            </w:tcBorders>
            <w:shd w:val="clear" w:color="auto" w:fill="auto"/>
            <w:noWrap/>
            <w:vAlign w:val="center"/>
            <w:hideMark/>
          </w:tcPr>
          <w:p w14:paraId="6D2EF341" w14:textId="5701E3C8" w:rsidR="00B66BA5" w:rsidRPr="00844F46" w:rsidRDefault="00B66BA5" w:rsidP="00B66BA5">
            <w:pPr>
              <w:jc w:val="center"/>
              <w:rPr>
                <w:rFonts w:eastAsia="Times New Roman" w:cs="Times New Roman"/>
                <w:b/>
                <w:bCs/>
                <w:color w:val="000000"/>
                <w:sz w:val="18"/>
                <w:szCs w:val="18"/>
                <w:lang w:eastAsia="es-GT"/>
              </w:rPr>
            </w:pPr>
            <w:r>
              <w:rPr>
                <w:b/>
                <w:bCs/>
                <w:color w:val="000000"/>
                <w:sz w:val="18"/>
                <w:szCs w:val="18"/>
              </w:rPr>
              <w:t>6,073.8</w:t>
            </w:r>
          </w:p>
        </w:tc>
        <w:tc>
          <w:tcPr>
            <w:tcW w:w="911" w:type="dxa"/>
            <w:tcBorders>
              <w:top w:val="nil"/>
              <w:left w:val="nil"/>
              <w:bottom w:val="nil"/>
              <w:right w:val="nil"/>
            </w:tcBorders>
            <w:shd w:val="clear" w:color="auto" w:fill="auto"/>
            <w:noWrap/>
            <w:vAlign w:val="center"/>
            <w:hideMark/>
          </w:tcPr>
          <w:p w14:paraId="3D36EAD1" w14:textId="6B13EEF5" w:rsidR="00B66BA5" w:rsidRPr="00844F46" w:rsidRDefault="00B66BA5" w:rsidP="00B66BA5">
            <w:pPr>
              <w:jc w:val="center"/>
              <w:rPr>
                <w:rFonts w:eastAsia="Times New Roman" w:cs="Times New Roman"/>
                <w:b/>
                <w:bCs/>
                <w:color w:val="000000"/>
                <w:sz w:val="18"/>
                <w:szCs w:val="18"/>
                <w:lang w:eastAsia="es-GT"/>
              </w:rPr>
            </w:pPr>
            <w:r>
              <w:rPr>
                <w:b/>
                <w:bCs/>
                <w:color w:val="000000"/>
                <w:sz w:val="18"/>
                <w:szCs w:val="18"/>
              </w:rPr>
              <w:t>-76.7</w:t>
            </w:r>
          </w:p>
        </w:tc>
      </w:tr>
      <w:tr w:rsidR="00844F46" w:rsidRPr="00844F46" w14:paraId="7640965D" w14:textId="77777777" w:rsidTr="002700BC">
        <w:trPr>
          <w:trHeight w:val="267"/>
          <w:jc w:val="center"/>
        </w:trPr>
        <w:tc>
          <w:tcPr>
            <w:tcW w:w="7213" w:type="dxa"/>
            <w:gridSpan w:val="5"/>
            <w:tcBorders>
              <w:top w:val="single" w:sz="8" w:space="0" w:color="auto"/>
              <w:left w:val="nil"/>
              <w:bottom w:val="double" w:sz="6" w:space="0" w:color="auto"/>
              <w:right w:val="nil"/>
            </w:tcBorders>
            <w:shd w:val="clear" w:color="auto" w:fill="auto"/>
            <w:noWrap/>
            <w:vAlign w:val="center"/>
            <w:hideMark/>
          </w:tcPr>
          <w:p w14:paraId="603F44D5" w14:textId="77777777" w:rsidR="00844F46" w:rsidRPr="00844F46" w:rsidRDefault="00844F46" w:rsidP="00844F46">
            <w:pPr>
              <w:rPr>
                <w:rFonts w:eastAsia="Times New Roman" w:cs="Times New Roman"/>
                <w:b/>
                <w:bCs/>
                <w:color w:val="4472C4"/>
                <w:sz w:val="18"/>
                <w:szCs w:val="18"/>
                <w:lang w:eastAsia="es-GT"/>
              </w:rPr>
            </w:pPr>
            <w:r w:rsidRPr="00844F46">
              <w:rPr>
                <w:rFonts w:eastAsia="Times New Roman" w:cs="Times New Roman"/>
                <w:b/>
                <w:bCs/>
                <w:color w:val="4472C4"/>
                <w:sz w:val="18"/>
                <w:szCs w:val="18"/>
                <w:lang w:eastAsia="es-GT"/>
              </w:rPr>
              <w:t>TRANSACCIONES EN ACTIVOS Y PASIVOS FINANCIEROS (FINANCIMIENTO)</w:t>
            </w:r>
          </w:p>
        </w:tc>
      </w:tr>
      <w:tr w:rsidR="00BC4811" w:rsidRPr="00844F46" w14:paraId="41DD322B" w14:textId="77777777" w:rsidTr="002700BC">
        <w:trPr>
          <w:trHeight w:val="267"/>
          <w:jc w:val="center"/>
        </w:trPr>
        <w:tc>
          <w:tcPr>
            <w:tcW w:w="3467" w:type="dxa"/>
            <w:tcBorders>
              <w:top w:val="nil"/>
              <w:left w:val="nil"/>
              <w:bottom w:val="nil"/>
              <w:right w:val="nil"/>
            </w:tcBorders>
            <w:shd w:val="clear" w:color="auto" w:fill="auto"/>
            <w:noWrap/>
            <w:vAlign w:val="center"/>
            <w:hideMark/>
          </w:tcPr>
          <w:p w14:paraId="26D558B6" w14:textId="77777777" w:rsidR="00BC4811" w:rsidRPr="00844F46" w:rsidRDefault="00BC4811" w:rsidP="00BC4811">
            <w:pPr>
              <w:rPr>
                <w:rFonts w:eastAsia="Times New Roman" w:cs="Times New Roman"/>
                <w:b/>
                <w:bCs/>
                <w:color w:val="000000"/>
                <w:sz w:val="18"/>
                <w:szCs w:val="18"/>
                <w:lang w:eastAsia="es-GT"/>
              </w:rPr>
            </w:pPr>
            <w:r w:rsidRPr="00844F46">
              <w:rPr>
                <w:rFonts w:eastAsia="Times New Roman" w:cs="Times New Roman"/>
                <w:b/>
                <w:bCs/>
                <w:color w:val="000000"/>
                <w:sz w:val="18"/>
                <w:szCs w:val="18"/>
                <w:lang w:eastAsia="es-GT"/>
              </w:rPr>
              <w:t>Adquisición neta de activos financieros</w:t>
            </w:r>
          </w:p>
        </w:tc>
        <w:tc>
          <w:tcPr>
            <w:tcW w:w="945" w:type="dxa"/>
            <w:tcBorders>
              <w:top w:val="nil"/>
              <w:left w:val="nil"/>
              <w:bottom w:val="nil"/>
              <w:right w:val="nil"/>
            </w:tcBorders>
            <w:shd w:val="clear" w:color="auto" w:fill="auto"/>
            <w:noWrap/>
            <w:vAlign w:val="center"/>
            <w:hideMark/>
          </w:tcPr>
          <w:p w14:paraId="61B8F962" w14:textId="14F9EEC2" w:rsidR="00BC4811" w:rsidRPr="00844F46" w:rsidRDefault="00BC4811" w:rsidP="00BC4811">
            <w:pPr>
              <w:jc w:val="center"/>
              <w:rPr>
                <w:rFonts w:eastAsia="Times New Roman" w:cs="Times New Roman"/>
                <w:b/>
                <w:bCs/>
                <w:color w:val="000000"/>
                <w:sz w:val="18"/>
                <w:szCs w:val="18"/>
                <w:lang w:eastAsia="es-GT"/>
              </w:rPr>
            </w:pPr>
            <w:r>
              <w:rPr>
                <w:b/>
                <w:bCs/>
                <w:color w:val="000000"/>
                <w:sz w:val="18"/>
                <w:szCs w:val="18"/>
              </w:rPr>
              <w:t>15,071.3</w:t>
            </w:r>
          </w:p>
        </w:tc>
        <w:tc>
          <w:tcPr>
            <w:tcW w:w="945" w:type="dxa"/>
            <w:tcBorders>
              <w:top w:val="nil"/>
              <w:left w:val="nil"/>
              <w:bottom w:val="nil"/>
              <w:right w:val="nil"/>
            </w:tcBorders>
            <w:shd w:val="clear" w:color="auto" w:fill="auto"/>
            <w:noWrap/>
            <w:vAlign w:val="center"/>
            <w:hideMark/>
          </w:tcPr>
          <w:p w14:paraId="10441872" w14:textId="3F53A5DC" w:rsidR="00BC4811" w:rsidRPr="00844F46" w:rsidRDefault="00BC4811" w:rsidP="00BC4811">
            <w:pPr>
              <w:jc w:val="center"/>
              <w:rPr>
                <w:rFonts w:eastAsia="Times New Roman" w:cs="Times New Roman"/>
                <w:b/>
                <w:bCs/>
                <w:color w:val="000000"/>
                <w:sz w:val="18"/>
                <w:szCs w:val="18"/>
                <w:lang w:eastAsia="es-GT"/>
              </w:rPr>
            </w:pPr>
            <w:r>
              <w:rPr>
                <w:b/>
                <w:bCs/>
                <w:color w:val="000000"/>
                <w:sz w:val="18"/>
                <w:szCs w:val="18"/>
              </w:rPr>
              <w:t>10,706.6</w:t>
            </w:r>
          </w:p>
        </w:tc>
        <w:tc>
          <w:tcPr>
            <w:tcW w:w="945" w:type="dxa"/>
            <w:tcBorders>
              <w:top w:val="double" w:sz="6" w:space="0" w:color="auto"/>
              <w:left w:val="dotDash" w:sz="4" w:space="0" w:color="auto"/>
              <w:bottom w:val="nil"/>
              <w:right w:val="nil"/>
            </w:tcBorders>
            <w:shd w:val="clear" w:color="auto" w:fill="auto"/>
            <w:noWrap/>
            <w:vAlign w:val="center"/>
            <w:hideMark/>
          </w:tcPr>
          <w:p w14:paraId="1F6A79D9" w14:textId="5BB74B7E" w:rsidR="00BC4811" w:rsidRPr="00844F46" w:rsidRDefault="00BC4811" w:rsidP="00BC4811">
            <w:pPr>
              <w:jc w:val="center"/>
              <w:rPr>
                <w:rFonts w:eastAsia="Times New Roman" w:cs="Times New Roman"/>
                <w:b/>
                <w:bCs/>
                <w:color w:val="000000"/>
                <w:sz w:val="18"/>
                <w:szCs w:val="18"/>
                <w:lang w:eastAsia="es-GT"/>
              </w:rPr>
            </w:pPr>
            <w:r>
              <w:rPr>
                <w:b/>
                <w:bCs/>
                <w:color w:val="000000"/>
                <w:sz w:val="18"/>
                <w:szCs w:val="18"/>
              </w:rPr>
              <w:t>-4,364.7</w:t>
            </w:r>
          </w:p>
        </w:tc>
        <w:tc>
          <w:tcPr>
            <w:tcW w:w="911" w:type="dxa"/>
            <w:tcBorders>
              <w:top w:val="nil"/>
              <w:left w:val="nil"/>
              <w:bottom w:val="nil"/>
              <w:right w:val="nil"/>
            </w:tcBorders>
            <w:shd w:val="clear" w:color="auto" w:fill="auto"/>
            <w:noWrap/>
            <w:vAlign w:val="center"/>
            <w:hideMark/>
          </w:tcPr>
          <w:p w14:paraId="52D148A8" w14:textId="7A3F7675" w:rsidR="00BC4811" w:rsidRPr="00844F46" w:rsidRDefault="00BC4811" w:rsidP="00BC4811">
            <w:pPr>
              <w:jc w:val="center"/>
              <w:rPr>
                <w:rFonts w:eastAsia="Times New Roman" w:cs="Times New Roman"/>
                <w:b/>
                <w:bCs/>
                <w:color w:val="000000"/>
                <w:sz w:val="18"/>
                <w:szCs w:val="18"/>
                <w:lang w:eastAsia="es-GT"/>
              </w:rPr>
            </w:pPr>
            <w:r>
              <w:rPr>
                <w:b/>
                <w:bCs/>
                <w:color w:val="000000"/>
                <w:sz w:val="18"/>
                <w:szCs w:val="18"/>
              </w:rPr>
              <w:t>-29.0</w:t>
            </w:r>
          </w:p>
        </w:tc>
      </w:tr>
      <w:tr w:rsidR="00BC4811" w:rsidRPr="00844F46" w14:paraId="05EDD2D3" w14:textId="77777777" w:rsidTr="002700BC">
        <w:trPr>
          <w:trHeight w:val="255"/>
          <w:jc w:val="center"/>
        </w:trPr>
        <w:tc>
          <w:tcPr>
            <w:tcW w:w="3467" w:type="dxa"/>
            <w:tcBorders>
              <w:top w:val="nil"/>
              <w:left w:val="nil"/>
              <w:bottom w:val="nil"/>
              <w:right w:val="nil"/>
            </w:tcBorders>
            <w:shd w:val="clear" w:color="auto" w:fill="auto"/>
            <w:noWrap/>
            <w:vAlign w:val="center"/>
            <w:hideMark/>
          </w:tcPr>
          <w:p w14:paraId="5DDA6CFE" w14:textId="77777777" w:rsidR="00BC4811" w:rsidRPr="00844F46" w:rsidRDefault="00BC4811" w:rsidP="00BC4811">
            <w:pPr>
              <w:ind w:firstLineChars="100" w:firstLine="180"/>
              <w:jc w:val="left"/>
              <w:rPr>
                <w:rFonts w:eastAsia="Times New Roman" w:cs="Times New Roman"/>
                <w:color w:val="000000"/>
                <w:sz w:val="18"/>
                <w:szCs w:val="18"/>
                <w:lang w:eastAsia="es-GT"/>
              </w:rPr>
            </w:pPr>
            <w:r w:rsidRPr="00844F46">
              <w:rPr>
                <w:rFonts w:eastAsia="Times New Roman" w:cs="Times New Roman"/>
                <w:color w:val="000000"/>
                <w:sz w:val="18"/>
                <w:szCs w:val="18"/>
                <w:lang w:eastAsia="es-GT"/>
              </w:rPr>
              <w:t>Billetes y monedas y depósitos</w:t>
            </w:r>
          </w:p>
        </w:tc>
        <w:tc>
          <w:tcPr>
            <w:tcW w:w="945" w:type="dxa"/>
            <w:tcBorders>
              <w:top w:val="nil"/>
              <w:left w:val="nil"/>
              <w:bottom w:val="nil"/>
              <w:right w:val="nil"/>
            </w:tcBorders>
            <w:shd w:val="clear" w:color="auto" w:fill="auto"/>
            <w:noWrap/>
            <w:vAlign w:val="center"/>
            <w:hideMark/>
          </w:tcPr>
          <w:p w14:paraId="1F943028" w14:textId="5B055AA8" w:rsidR="00BC4811" w:rsidRPr="00844F46" w:rsidRDefault="00BC4811" w:rsidP="00BC4811">
            <w:pPr>
              <w:jc w:val="center"/>
              <w:rPr>
                <w:rFonts w:eastAsia="Times New Roman" w:cs="Times New Roman"/>
                <w:color w:val="000000"/>
                <w:sz w:val="18"/>
                <w:szCs w:val="18"/>
                <w:lang w:eastAsia="es-GT"/>
              </w:rPr>
            </w:pPr>
            <w:r>
              <w:rPr>
                <w:color w:val="000000"/>
                <w:sz w:val="18"/>
                <w:szCs w:val="18"/>
              </w:rPr>
              <w:t>13,621.8</w:t>
            </w:r>
          </w:p>
        </w:tc>
        <w:tc>
          <w:tcPr>
            <w:tcW w:w="945" w:type="dxa"/>
            <w:tcBorders>
              <w:top w:val="nil"/>
              <w:left w:val="nil"/>
              <w:bottom w:val="nil"/>
              <w:right w:val="nil"/>
            </w:tcBorders>
            <w:shd w:val="clear" w:color="auto" w:fill="auto"/>
            <w:noWrap/>
            <w:vAlign w:val="center"/>
            <w:hideMark/>
          </w:tcPr>
          <w:p w14:paraId="130826E1" w14:textId="31BB2451" w:rsidR="00BC4811" w:rsidRPr="00844F46" w:rsidRDefault="00BC4811" w:rsidP="00BC4811">
            <w:pPr>
              <w:jc w:val="center"/>
              <w:rPr>
                <w:rFonts w:eastAsia="Times New Roman" w:cs="Times New Roman"/>
                <w:color w:val="000000"/>
                <w:sz w:val="18"/>
                <w:szCs w:val="18"/>
                <w:lang w:eastAsia="es-GT"/>
              </w:rPr>
            </w:pPr>
            <w:r>
              <w:rPr>
                <w:color w:val="000000"/>
                <w:sz w:val="18"/>
                <w:szCs w:val="18"/>
              </w:rPr>
              <w:t>10,705.1</w:t>
            </w:r>
          </w:p>
        </w:tc>
        <w:tc>
          <w:tcPr>
            <w:tcW w:w="945" w:type="dxa"/>
            <w:tcBorders>
              <w:top w:val="nil"/>
              <w:left w:val="dotDash" w:sz="4" w:space="0" w:color="auto"/>
              <w:bottom w:val="nil"/>
              <w:right w:val="nil"/>
            </w:tcBorders>
            <w:shd w:val="clear" w:color="auto" w:fill="auto"/>
            <w:noWrap/>
            <w:vAlign w:val="center"/>
            <w:hideMark/>
          </w:tcPr>
          <w:p w14:paraId="3AC84FFE" w14:textId="39283BCA" w:rsidR="00BC4811" w:rsidRPr="00844F46" w:rsidRDefault="00BC4811" w:rsidP="00BC4811">
            <w:pPr>
              <w:jc w:val="center"/>
              <w:rPr>
                <w:rFonts w:eastAsia="Times New Roman" w:cs="Times New Roman"/>
                <w:color w:val="000000"/>
                <w:sz w:val="18"/>
                <w:szCs w:val="18"/>
                <w:lang w:eastAsia="es-GT"/>
              </w:rPr>
            </w:pPr>
            <w:r>
              <w:rPr>
                <w:color w:val="000000"/>
                <w:sz w:val="18"/>
                <w:szCs w:val="18"/>
              </w:rPr>
              <w:t>-2,916.7</w:t>
            </w:r>
          </w:p>
        </w:tc>
        <w:tc>
          <w:tcPr>
            <w:tcW w:w="911" w:type="dxa"/>
            <w:tcBorders>
              <w:top w:val="nil"/>
              <w:left w:val="nil"/>
              <w:bottom w:val="nil"/>
              <w:right w:val="nil"/>
            </w:tcBorders>
            <w:shd w:val="clear" w:color="auto" w:fill="auto"/>
            <w:noWrap/>
            <w:vAlign w:val="center"/>
            <w:hideMark/>
          </w:tcPr>
          <w:p w14:paraId="31B19D57" w14:textId="7B3F5E33" w:rsidR="00BC4811" w:rsidRPr="00844F46" w:rsidRDefault="00BC4811" w:rsidP="00BC4811">
            <w:pPr>
              <w:jc w:val="center"/>
              <w:rPr>
                <w:rFonts w:eastAsia="Times New Roman" w:cs="Times New Roman"/>
                <w:color w:val="000000"/>
                <w:sz w:val="18"/>
                <w:szCs w:val="18"/>
                <w:lang w:eastAsia="es-GT"/>
              </w:rPr>
            </w:pPr>
            <w:r>
              <w:rPr>
                <w:color w:val="000000"/>
                <w:sz w:val="18"/>
                <w:szCs w:val="18"/>
              </w:rPr>
              <w:t>-21.4</w:t>
            </w:r>
          </w:p>
        </w:tc>
      </w:tr>
      <w:tr w:rsidR="00BC4811" w:rsidRPr="00844F46" w14:paraId="2E39DE56" w14:textId="77777777" w:rsidTr="002700BC">
        <w:trPr>
          <w:trHeight w:val="255"/>
          <w:jc w:val="center"/>
        </w:trPr>
        <w:tc>
          <w:tcPr>
            <w:tcW w:w="3467" w:type="dxa"/>
            <w:tcBorders>
              <w:top w:val="nil"/>
              <w:left w:val="nil"/>
              <w:bottom w:val="nil"/>
              <w:right w:val="nil"/>
            </w:tcBorders>
            <w:shd w:val="clear" w:color="auto" w:fill="auto"/>
            <w:noWrap/>
            <w:vAlign w:val="center"/>
            <w:hideMark/>
          </w:tcPr>
          <w:p w14:paraId="0FBD8F52" w14:textId="77777777" w:rsidR="00BC4811" w:rsidRPr="00844F46" w:rsidRDefault="00BC4811" w:rsidP="00BC4811">
            <w:pPr>
              <w:ind w:firstLineChars="100" w:firstLine="180"/>
              <w:jc w:val="left"/>
              <w:rPr>
                <w:rFonts w:eastAsia="Times New Roman" w:cs="Times New Roman"/>
                <w:color w:val="000000"/>
                <w:sz w:val="18"/>
                <w:szCs w:val="18"/>
                <w:lang w:eastAsia="es-GT"/>
              </w:rPr>
            </w:pPr>
            <w:r w:rsidRPr="00844F46">
              <w:rPr>
                <w:rFonts w:eastAsia="Times New Roman" w:cs="Times New Roman"/>
                <w:color w:val="000000"/>
                <w:sz w:val="18"/>
                <w:szCs w:val="18"/>
                <w:lang w:eastAsia="es-GT"/>
              </w:rPr>
              <w:t>Préstamos</w:t>
            </w:r>
          </w:p>
        </w:tc>
        <w:tc>
          <w:tcPr>
            <w:tcW w:w="945" w:type="dxa"/>
            <w:tcBorders>
              <w:top w:val="nil"/>
              <w:left w:val="nil"/>
              <w:bottom w:val="nil"/>
              <w:right w:val="nil"/>
            </w:tcBorders>
            <w:shd w:val="clear" w:color="auto" w:fill="auto"/>
            <w:noWrap/>
            <w:vAlign w:val="center"/>
            <w:hideMark/>
          </w:tcPr>
          <w:p w14:paraId="762FE5C6" w14:textId="327A6A6C" w:rsidR="00BC4811" w:rsidRPr="00844F46" w:rsidRDefault="00BC4811" w:rsidP="00BC4811">
            <w:pPr>
              <w:jc w:val="center"/>
              <w:rPr>
                <w:rFonts w:eastAsia="Times New Roman" w:cs="Times New Roman"/>
                <w:color w:val="000000"/>
                <w:sz w:val="18"/>
                <w:szCs w:val="18"/>
                <w:lang w:eastAsia="es-GT"/>
              </w:rPr>
            </w:pPr>
            <w:r>
              <w:rPr>
                <w:color w:val="000000"/>
                <w:sz w:val="18"/>
                <w:szCs w:val="18"/>
              </w:rPr>
              <w:t>1,449.5</w:t>
            </w:r>
          </w:p>
        </w:tc>
        <w:tc>
          <w:tcPr>
            <w:tcW w:w="945" w:type="dxa"/>
            <w:tcBorders>
              <w:top w:val="nil"/>
              <w:left w:val="nil"/>
              <w:bottom w:val="nil"/>
              <w:right w:val="nil"/>
            </w:tcBorders>
            <w:shd w:val="clear" w:color="auto" w:fill="auto"/>
            <w:noWrap/>
            <w:vAlign w:val="center"/>
            <w:hideMark/>
          </w:tcPr>
          <w:p w14:paraId="268EC47C" w14:textId="5968AB11" w:rsidR="00BC4811" w:rsidRPr="00844F46" w:rsidRDefault="00BC4811" w:rsidP="00BC4811">
            <w:pPr>
              <w:jc w:val="center"/>
              <w:rPr>
                <w:rFonts w:eastAsia="Times New Roman" w:cs="Times New Roman"/>
                <w:color w:val="000000"/>
                <w:sz w:val="18"/>
                <w:szCs w:val="18"/>
                <w:lang w:eastAsia="es-GT"/>
              </w:rPr>
            </w:pPr>
            <w:r>
              <w:rPr>
                <w:color w:val="000000"/>
                <w:sz w:val="18"/>
                <w:szCs w:val="18"/>
              </w:rPr>
              <w:t>1.5</w:t>
            </w:r>
          </w:p>
        </w:tc>
        <w:tc>
          <w:tcPr>
            <w:tcW w:w="945" w:type="dxa"/>
            <w:tcBorders>
              <w:top w:val="nil"/>
              <w:left w:val="dotDash" w:sz="4" w:space="0" w:color="auto"/>
              <w:bottom w:val="nil"/>
              <w:right w:val="nil"/>
            </w:tcBorders>
            <w:shd w:val="clear" w:color="auto" w:fill="auto"/>
            <w:noWrap/>
            <w:vAlign w:val="center"/>
            <w:hideMark/>
          </w:tcPr>
          <w:p w14:paraId="4E147DB9" w14:textId="4BDFA674" w:rsidR="00BC4811" w:rsidRPr="00844F46" w:rsidRDefault="00BC4811" w:rsidP="00BC4811">
            <w:pPr>
              <w:jc w:val="center"/>
              <w:rPr>
                <w:rFonts w:eastAsia="Times New Roman" w:cs="Times New Roman"/>
                <w:color w:val="000000"/>
                <w:sz w:val="18"/>
                <w:szCs w:val="18"/>
                <w:lang w:eastAsia="es-GT"/>
              </w:rPr>
            </w:pPr>
            <w:r>
              <w:rPr>
                <w:color w:val="000000"/>
                <w:sz w:val="18"/>
                <w:szCs w:val="18"/>
              </w:rPr>
              <w:t>-1,448.0</w:t>
            </w:r>
          </w:p>
        </w:tc>
        <w:tc>
          <w:tcPr>
            <w:tcW w:w="911" w:type="dxa"/>
            <w:tcBorders>
              <w:top w:val="nil"/>
              <w:left w:val="nil"/>
              <w:bottom w:val="nil"/>
              <w:right w:val="nil"/>
            </w:tcBorders>
            <w:shd w:val="clear" w:color="auto" w:fill="auto"/>
            <w:noWrap/>
            <w:vAlign w:val="center"/>
            <w:hideMark/>
          </w:tcPr>
          <w:p w14:paraId="0327F049" w14:textId="7E6FF8D3" w:rsidR="00BC4811" w:rsidRPr="00844F46" w:rsidRDefault="00BC4811" w:rsidP="00BC4811">
            <w:pPr>
              <w:jc w:val="center"/>
              <w:rPr>
                <w:rFonts w:eastAsia="Times New Roman" w:cs="Times New Roman"/>
                <w:color w:val="000000"/>
                <w:sz w:val="18"/>
                <w:szCs w:val="18"/>
                <w:lang w:eastAsia="es-GT"/>
              </w:rPr>
            </w:pPr>
            <w:r>
              <w:rPr>
                <w:color w:val="000000"/>
                <w:sz w:val="18"/>
                <w:szCs w:val="18"/>
              </w:rPr>
              <w:t>-99.9</w:t>
            </w:r>
          </w:p>
        </w:tc>
      </w:tr>
      <w:tr w:rsidR="00BC4811" w:rsidRPr="00844F46" w14:paraId="4423D20A" w14:textId="77777777" w:rsidTr="002700BC">
        <w:trPr>
          <w:trHeight w:val="255"/>
          <w:jc w:val="center"/>
        </w:trPr>
        <w:tc>
          <w:tcPr>
            <w:tcW w:w="3467" w:type="dxa"/>
            <w:tcBorders>
              <w:top w:val="nil"/>
              <w:left w:val="nil"/>
              <w:bottom w:val="nil"/>
              <w:right w:val="nil"/>
            </w:tcBorders>
            <w:shd w:val="clear" w:color="auto" w:fill="auto"/>
            <w:noWrap/>
            <w:vAlign w:val="center"/>
            <w:hideMark/>
          </w:tcPr>
          <w:p w14:paraId="7D135D76" w14:textId="77777777" w:rsidR="00BC4811" w:rsidRPr="00844F46" w:rsidRDefault="00BC4811" w:rsidP="00BC4811">
            <w:pPr>
              <w:ind w:firstLineChars="100" w:firstLine="180"/>
              <w:jc w:val="left"/>
              <w:rPr>
                <w:rFonts w:eastAsia="Times New Roman" w:cs="Times New Roman"/>
                <w:color w:val="000000"/>
                <w:sz w:val="18"/>
                <w:szCs w:val="18"/>
                <w:lang w:eastAsia="es-GT"/>
              </w:rPr>
            </w:pPr>
            <w:r w:rsidRPr="00844F46">
              <w:rPr>
                <w:rFonts w:eastAsia="Times New Roman" w:cs="Times New Roman"/>
                <w:color w:val="000000"/>
                <w:sz w:val="18"/>
                <w:szCs w:val="18"/>
                <w:lang w:eastAsia="es-GT"/>
              </w:rPr>
              <w:t>Otros</w:t>
            </w:r>
          </w:p>
        </w:tc>
        <w:tc>
          <w:tcPr>
            <w:tcW w:w="945" w:type="dxa"/>
            <w:tcBorders>
              <w:top w:val="nil"/>
              <w:left w:val="nil"/>
              <w:bottom w:val="nil"/>
              <w:right w:val="nil"/>
            </w:tcBorders>
            <w:shd w:val="clear" w:color="auto" w:fill="auto"/>
            <w:noWrap/>
            <w:vAlign w:val="center"/>
            <w:hideMark/>
          </w:tcPr>
          <w:p w14:paraId="6AF56F00" w14:textId="0F2F8009" w:rsidR="00BC4811" w:rsidRPr="00844F46" w:rsidRDefault="00BC4811" w:rsidP="00BC4811">
            <w:pPr>
              <w:jc w:val="center"/>
              <w:rPr>
                <w:rFonts w:eastAsia="Times New Roman" w:cs="Times New Roman"/>
                <w:color w:val="000000"/>
                <w:sz w:val="18"/>
                <w:szCs w:val="18"/>
                <w:lang w:eastAsia="es-GT"/>
              </w:rPr>
            </w:pPr>
            <w:r>
              <w:rPr>
                <w:color w:val="000000"/>
                <w:sz w:val="18"/>
                <w:szCs w:val="18"/>
              </w:rPr>
              <w:t>0.0</w:t>
            </w:r>
          </w:p>
        </w:tc>
        <w:tc>
          <w:tcPr>
            <w:tcW w:w="945" w:type="dxa"/>
            <w:tcBorders>
              <w:top w:val="nil"/>
              <w:left w:val="nil"/>
              <w:bottom w:val="nil"/>
              <w:right w:val="nil"/>
            </w:tcBorders>
            <w:shd w:val="clear" w:color="auto" w:fill="auto"/>
            <w:noWrap/>
            <w:vAlign w:val="center"/>
            <w:hideMark/>
          </w:tcPr>
          <w:p w14:paraId="64B04C02" w14:textId="01C0799B" w:rsidR="00BC4811" w:rsidRPr="00844F46" w:rsidRDefault="00BC4811" w:rsidP="00BC4811">
            <w:pPr>
              <w:jc w:val="center"/>
              <w:rPr>
                <w:rFonts w:eastAsia="Times New Roman" w:cs="Times New Roman"/>
                <w:color w:val="000000"/>
                <w:sz w:val="18"/>
                <w:szCs w:val="18"/>
                <w:lang w:eastAsia="es-GT"/>
              </w:rPr>
            </w:pPr>
            <w:r>
              <w:rPr>
                <w:color w:val="000000"/>
                <w:sz w:val="18"/>
                <w:szCs w:val="18"/>
              </w:rPr>
              <w:t>0.0</w:t>
            </w:r>
          </w:p>
        </w:tc>
        <w:tc>
          <w:tcPr>
            <w:tcW w:w="945" w:type="dxa"/>
            <w:tcBorders>
              <w:top w:val="nil"/>
              <w:left w:val="dotDash" w:sz="4" w:space="0" w:color="auto"/>
              <w:bottom w:val="nil"/>
              <w:right w:val="nil"/>
            </w:tcBorders>
            <w:shd w:val="clear" w:color="auto" w:fill="auto"/>
            <w:noWrap/>
            <w:vAlign w:val="center"/>
            <w:hideMark/>
          </w:tcPr>
          <w:p w14:paraId="5A60D00D" w14:textId="0F32CFAB" w:rsidR="00BC4811" w:rsidRPr="00844F46" w:rsidRDefault="00BC4811" w:rsidP="00BC4811">
            <w:pPr>
              <w:jc w:val="center"/>
              <w:rPr>
                <w:rFonts w:eastAsia="Times New Roman" w:cs="Times New Roman"/>
                <w:color w:val="000000"/>
                <w:sz w:val="18"/>
                <w:szCs w:val="18"/>
                <w:lang w:eastAsia="es-GT"/>
              </w:rPr>
            </w:pPr>
            <w:r>
              <w:rPr>
                <w:color w:val="000000"/>
                <w:sz w:val="18"/>
                <w:szCs w:val="18"/>
              </w:rPr>
              <w:t>0.0</w:t>
            </w:r>
          </w:p>
        </w:tc>
        <w:tc>
          <w:tcPr>
            <w:tcW w:w="911" w:type="dxa"/>
            <w:tcBorders>
              <w:top w:val="nil"/>
              <w:left w:val="nil"/>
              <w:bottom w:val="nil"/>
              <w:right w:val="nil"/>
            </w:tcBorders>
            <w:shd w:val="clear" w:color="auto" w:fill="auto"/>
            <w:noWrap/>
            <w:vAlign w:val="center"/>
            <w:hideMark/>
          </w:tcPr>
          <w:p w14:paraId="4F1A6F12" w14:textId="0BE2A434" w:rsidR="00BC4811" w:rsidRPr="00844F46" w:rsidRDefault="00BC4811" w:rsidP="00BC4811">
            <w:pPr>
              <w:jc w:val="center"/>
              <w:rPr>
                <w:rFonts w:eastAsia="Times New Roman" w:cs="Times New Roman"/>
                <w:color w:val="000000"/>
                <w:sz w:val="18"/>
                <w:szCs w:val="18"/>
                <w:lang w:eastAsia="es-GT"/>
              </w:rPr>
            </w:pPr>
            <w:r>
              <w:rPr>
                <w:color w:val="000000"/>
                <w:sz w:val="18"/>
                <w:szCs w:val="18"/>
              </w:rPr>
              <w:t>0.0</w:t>
            </w:r>
          </w:p>
        </w:tc>
      </w:tr>
      <w:tr w:rsidR="00BC4811" w:rsidRPr="00844F46" w14:paraId="3DCA0D3A" w14:textId="77777777" w:rsidTr="002700BC">
        <w:trPr>
          <w:trHeight w:val="255"/>
          <w:jc w:val="center"/>
        </w:trPr>
        <w:tc>
          <w:tcPr>
            <w:tcW w:w="3467" w:type="dxa"/>
            <w:tcBorders>
              <w:top w:val="nil"/>
              <w:left w:val="nil"/>
              <w:bottom w:val="nil"/>
              <w:right w:val="nil"/>
            </w:tcBorders>
            <w:shd w:val="clear" w:color="auto" w:fill="auto"/>
            <w:noWrap/>
            <w:vAlign w:val="center"/>
            <w:hideMark/>
          </w:tcPr>
          <w:p w14:paraId="2D3DB4EE" w14:textId="77777777" w:rsidR="00BC4811" w:rsidRPr="00844F46" w:rsidRDefault="00BC4811" w:rsidP="00BC4811">
            <w:pPr>
              <w:rPr>
                <w:rFonts w:eastAsia="Times New Roman" w:cs="Times New Roman"/>
                <w:b/>
                <w:bCs/>
                <w:color w:val="000000"/>
                <w:sz w:val="18"/>
                <w:szCs w:val="18"/>
                <w:lang w:eastAsia="es-GT"/>
              </w:rPr>
            </w:pPr>
            <w:r w:rsidRPr="00844F46">
              <w:rPr>
                <w:rFonts w:eastAsia="Times New Roman" w:cs="Times New Roman"/>
                <w:b/>
                <w:bCs/>
                <w:color w:val="000000"/>
                <w:sz w:val="18"/>
                <w:szCs w:val="18"/>
                <w:lang w:eastAsia="es-GT"/>
              </w:rPr>
              <w:t>Incurrimiento neto de pasivos</w:t>
            </w:r>
          </w:p>
        </w:tc>
        <w:tc>
          <w:tcPr>
            <w:tcW w:w="945" w:type="dxa"/>
            <w:tcBorders>
              <w:top w:val="nil"/>
              <w:left w:val="nil"/>
              <w:bottom w:val="nil"/>
              <w:right w:val="nil"/>
            </w:tcBorders>
            <w:shd w:val="clear" w:color="auto" w:fill="auto"/>
            <w:noWrap/>
            <w:vAlign w:val="center"/>
            <w:hideMark/>
          </w:tcPr>
          <w:p w14:paraId="3352EC7F" w14:textId="02F952C9" w:rsidR="00BC4811" w:rsidRPr="00844F46" w:rsidRDefault="00BC4811" w:rsidP="00BC4811">
            <w:pPr>
              <w:jc w:val="center"/>
              <w:rPr>
                <w:rFonts w:eastAsia="Times New Roman" w:cs="Times New Roman"/>
                <w:b/>
                <w:bCs/>
                <w:color w:val="000000"/>
                <w:sz w:val="18"/>
                <w:szCs w:val="18"/>
                <w:lang w:eastAsia="es-GT"/>
              </w:rPr>
            </w:pPr>
            <w:r>
              <w:rPr>
                <w:b/>
                <w:bCs/>
                <w:color w:val="000000"/>
                <w:sz w:val="18"/>
                <w:szCs w:val="18"/>
              </w:rPr>
              <w:t>24,064.8</w:t>
            </w:r>
          </w:p>
        </w:tc>
        <w:tc>
          <w:tcPr>
            <w:tcW w:w="945" w:type="dxa"/>
            <w:tcBorders>
              <w:top w:val="nil"/>
              <w:left w:val="nil"/>
              <w:bottom w:val="nil"/>
              <w:right w:val="nil"/>
            </w:tcBorders>
            <w:shd w:val="clear" w:color="auto" w:fill="auto"/>
            <w:noWrap/>
            <w:vAlign w:val="center"/>
            <w:hideMark/>
          </w:tcPr>
          <w:p w14:paraId="0F479C68" w14:textId="6B56381A" w:rsidR="00BC4811" w:rsidRPr="00844F46" w:rsidRDefault="00BC4811" w:rsidP="00BC4811">
            <w:pPr>
              <w:jc w:val="center"/>
              <w:rPr>
                <w:rFonts w:eastAsia="Times New Roman" w:cs="Times New Roman"/>
                <w:b/>
                <w:bCs/>
                <w:color w:val="000000"/>
                <w:sz w:val="18"/>
                <w:szCs w:val="18"/>
                <w:lang w:eastAsia="es-GT"/>
              </w:rPr>
            </w:pPr>
            <w:r>
              <w:rPr>
                <w:b/>
                <w:bCs/>
                <w:color w:val="000000"/>
                <w:sz w:val="18"/>
                <w:szCs w:val="18"/>
              </w:rPr>
              <w:t>11,363.8</w:t>
            </w:r>
          </w:p>
        </w:tc>
        <w:tc>
          <w:tcPr>
            <w:tcW w:w="945" w:type="dxa"/>
            <w:tcBorders>
              <w:top w:val="nil"/>
              <w:left w:val="dotDash" w:sz="4" w:space="0" w:color="auto"/>
              <w:bottom w:val="nil"/>
              <w:right w:val="nil"/>
            </w:tcBorders>
            <w:shd w:val="clear" w:color="auto" w:fill="auto"/>
            <w:noWrap/>
            <w:vAlign w:val="center"/>
            <w:hideMark/>
          </w:tcPr>
          <w:p w14:paraId="4947F435" w14:textId="23B93006" w:rsidR="00BC4811" w:rsidRPr="00844F46" w:rsidRDefault="00BC4811" w:rsidP="00BC4811">
            <w:pPr>
              <w:jc w:val="center"/>
              <w:rPr>
                <w:rFonts w:eastAsia="Times New Roman" w:cs="Times New Roman"/>
                <w:b/>
                <w:bCs/>
                <w:color w:val="000000"/>
                <w:sz w:val="18"/>
                <w:szCs w:val="18"/>
                <w:lang w:eastAsia="es-GT"/>
              </w:rPr>
            </w:pPr>
            <w:r>
              <w:rPr>
                <w:b/>
                <w:bCs/>
                <w:color w:val="000000"/>
                <w:sz w:val="18"/>
                <w:szCs w:val="18"/>
              </w:rPr>
              <w:t>-12,701.0</w:t>
            </w:r>
          </w:p>
        </w:tc>
        <w:tc>
          <w:tcPr>
            <w:tcW w:w="911" w:type="dxa"/>
            <w:tcBorders>
              <w:top w:val="nil"/>
              <w:left w:val="nil"/>
              <w:bottom w:val="nil"/>
              <w:right w:val="nil"/>
            </w:tcBorders>
            <w:shd w:val="clear" w:color="auto" w:fill="auto"/>
            <w:noWrap/>
            <w:vAlign w:val="center"/>
            <w:hideMark/>
          </w:tcPr>
          <w:p w14:paraId="68707875" w14:textId="0A49D0B2" w:rsidR="00BC4811" w:rsidRPr="00844F46" w:rsidRDefault="00BC4811" w:rsidP="00BC4811">
            <w:pPr>
              <w:jc w:val="center"/>
              <w:rPr>
                <w:rFonts w:eastAsia="Times New Roman" w:cs="Times New Roman"/>
                <w:b/>
                <w:bCs/>
                <w:color w:val="000000"/>
                <w:sz w:val="18"/>
                <w:szCs w:val="18"/>
                <w:lang w:eastAsia="es-GT"/>
              </w:rPr>
            </w:pPr>
            <w:r>
              <w:rPr>
                <w:b/>
                <w:bCs/>
                <w:color w:val="000000"/>
                <w:sz w:val="18"/>
                <w:szCs w:val="18"/>
              </w:rPr>
              <w:t>-52.8</w:t>
            </w:r>
          </w:p>
        </w:tc>
      </w:tr>
      <w:tr w:rsidR="00BC4811" w:rsidRPr="00844F46" w14:paraId="281921C4" w14:textId="77777777" w:rsidTr="002700BC">
        <w:trPr>
          <w:trHeight w:val="255"/>
          <w:jc w:val="center"/>
        </w:trPr>
        <w:tc>
          <w:tcPr>
            <w:tcW w:w="3467" w:type="dxa"/>
            <w:tcBorders>
              <w:top w:val="nil"/>
              <w:left w:val="nil"/>
              <w:bottom w:val="nil"/>
              <w:right w:val="nil"/>
            </w:tcBorders>
            <w:shd w:val="clear" w:color="auto" w:fill="auto"/>
            <w:noWrap/>
            <w:vAlign w:val="center"/>
            <w:hideMark/>
          </w:tcPr>
          <w:p w14:paraId="0B6A330E" w14:textId="77777777" w:rsidR="00BC4811" w:rsidRPr="00844F46" w:rsidRDefault="00BC4811" w:rsidP="00BC4811">
            <w:pPr>
              <w:ind w:firstLineChars="100" w:firstLine="180"/>
              <w:jc w:val="left"/>
              <w:rPr>
                <w:rFonts w:eastAsia="Times New Roman" w:cs="Times New Roman"/>
                <w:color w:val="000000"/>
                <w:sz w:val="18"/>
                <w:szCs w:val="18"/>
                <w:lang w:eastAsia="es-GT"/>
              </w:rPr>
            </w:pPr>
            <w:r w:rsidRPr="00844F46">
              <w:rPr>
                <w:rFonts w:eastAsia="Times New Roman" w:cs="Times New Roman"/>
                <w:color w:val="000000"/>
                <w:sz w:val="18"/>
                <w:szCs w:val="18"/>
                <w:lang w:eastAsia="es-GT"/>
              </w:rPr>
              <w:t>Títulos de deuda</w:t>
            </w:r>
          </w:p>
        </w:tc>
        <w:tc>
          <w:tcPr>
            <w:tcW w:w="945" w:type="dxa"/>
            <w:tcBorders>
              <w:top w:val="nil"/>
              <w:left w:val="nil"/>
              <w:bottom w:val="nil"/>
              <w:right w:val="nil"/>
            </w:tcBorders>
            <w:shd w:val="clear" w:color="auto" w:fill="auto"/>
            <w:noWrap/>
            <w:vAlign w:val="center"/>
            <w:hideMark/>
          </w:tcPr>
          <w:p w14:paraId="0435506B" w14:textId="1446B9B1" w:rsidR="00BC4811" w:rsidRPr="00844F46" w:rsidRDefault="00BC4811" w:rsidP="00BC4811">
            <w:pPr>
              <w:jc w:val="center"/>
              <w:rPr>
                <w:rFonts w:eastAsia="Times New Roman" w:cs="Times New Roman"/>
                <w:color w:val="000000"/>
                <w:sz w:val="18"/>
                <w:szCs w:val="18"/>
                <w:lang w:eastAsia="es-GT"/>
              </w:rPr>
            </w:pPr>
            <w:r>
              <w:rPr>
                <w:color w:val="000000"/>
                <w:sz w:val="18"/>
                <w:szCs w:val="18"/>
              </w:rPr>
              <w:t>22,975.7</w:t>
            </w:r>
          </w:p>
        </w:tc>
        <w:tc>
          <w:tcPr>
            <w:tcW w:w="945" w:type="dxa"/>
            <w:tcBorders>
              <w:top w:val="nil"/>
              <w:left w:val="nil"/>
              <w:bottom w:val="nil"/>
              <w:right w:val="nil"/>
            </w:tcBorders>
            <w:shd w:val="clear" w:color="auto" w:fill="auto"/>
            <w:noWrap/>
            <w:vAlign w:val="center"/>
            <w:hideMark/>
          </w:tcPr>
          <w:p w14:paraId="0C5AD26B" w14:textId="74C8B0C8" w:rsidR="00BC4811" w:rsidRPr="00844F46" w:rsidRDefault="00BC4811" w:rsidP="00BC4811">
            <w:pPr>
              <w:jc w:val="center"/>
              <w:rPr>
                <w:rFonts w:eastAsia="Times New Roman" w:cs="Times New Roman"/>
                <w:color w:val="000000"/>
                <w:sz w:val="18"/>
                <w:szCs w:val="18"/>
                <w:lang w:eastAsia="es-GT"/>
              </w:rPr>
            </w:pPr>
            <w:r>
              <w:rPr>
                <w:color w:val="000000"/>
                <w:sz w:val="18"/>
                <w:szCs w:val="18"/>
              </w:rPr>
              <w:t>13,032.0</w:t>
            </w:r>
          </w:p>
        </w:tc>
        <w:tc>
          <w:tcPr>
            <w:tcW w:w="945" w:type="dxa"/>
            <w:tcBorders>
              <w:top w:val="nil"/>
              <w:left w:val="dotDash" w:sz="4" w:space="0" w:color="auto"/>
              <w:bottom w:val="nil"/>
              <w:right w:val="nil"/>
            </w:tcBorders>
            <w:shd w:val="clear" w:color="auto" w:fill="auto"/>
            <w:noWrap/>
            <w:vAlign w:val="center"/>
            <w:hideMark/>
          </w:tcPr>
          <w:p w14:paraId="13471988" w14:textId="0272FBD5" w:rsidR="00BC4811" w:rsidRPr="00844F46" w:rsidRDefault="00BC4811" w:rsidP="00BC4811">
            <w:pPr>
              <w:jc w:val="center"/>
              <w:rPr>
                <w:rFonts w:eastAsia="Times New Roman" w:cs="Times New Roman"/>
                <w:color w:val="000000"/>
                <w:sz w:val="18"/>
                <w:szCs w:val="18"/>
                <w:lang w:eastAsia="es-GT"/>
              </w:rPr>
            </w:pPr>
            <w:r>
              <w:rPr>
                <w:color w:val="000000"/>
                <w:sz w:val="18"/>
                <w:szCs w:val="18"/>
              </w:rPr>
              <w:t>-9,943.7</w:t>
            </w:r>
          </w:p>
        </w:tc>
        <w:tc>
          <w:tcPr>
            <w:tcW w:w="911" w:type="dxa"/>
            <w:tcBorders>
              <w:top w:val="nil"/>
              <w:left w:val="nil"/>
              <w:bottom w:val="nil"/>
              <w:right w:val="nil"/>
            </w:tcBorders>
            <w:shd w:val="clear" w:color="auto" w:fill="auto"/>
            <w:noWrap/>
            <w:vAlign w:val="center"/>
            <w:hideMark/>
          </w:tcPr>
          <w:p w14:paraId="29AB34E6" w14:textId="2F83EFB1" w:rsidR="00BC4811" w:rsidRPr="00844F46" w:rsidRDefault="00BC4811" w:rsidP="00BC4811">
            <w:pPr>
              <w:jc w:val="center"/>
              <w:rPr>
                <w:rFonts w:eastAsia="Times New Roman" w:cs="Times New Roman"/>
                <w:color w:val="000000"/>
                <w:sz w:val="18"/>
                <w:szCs w:val="18"/>
                <w:lang w:eastAsia="es-GT"/>
              </w:rPr>
            </w:pPr>
            <w:r>
              <w:rPr>
                <w:color w:val="000000"/>
                <w:sz w:val="18"/>
                <w:szCs w:val="18"/>
              </w:rPr>
              <w:t>-43.3</w:t>
            </w:r>
          </w:p>
        </w:tc>
      </w:tr>
      <w:tr w:rsidR="00BC4811" w:rsidRPr="00844F46" w14:paraId="53E7A6A4" w14:textId="77777777" w:rsidTr="002700BC">
        <w:trPr>
          <w:trHeight w:val="255"/>
          <w:jc w:val="center"/>
        </w:trPr>
        <w:tc>
          <w:tcPr>
            <w:tcW w:w="3467" w:type="dxa"/>
            <w:tcBorders>
              <w:top w:val="nil"/>
              <w:left w:val="nil"/>
              <w:bottom w:val="nil"/>
              <w:right w:val="nil"/>
            </w:tcBorders>
            <w:shd w:val="clear" w:color="auto" w:fill="auto"/>
            <w:noWrap/>
            <w:vAlign w:val="center"/>
            <w:hideMark/>
          </w:tcPr>
          <w:p w14:paraId="6731173F" w14:textId="77777777" w:rsidR="00BC4811" w:rsidRPr="00844F46" w:rsidRDefault="00BC4811" w:rsidP="00BC4811">
            <w:pPr>
              <w:ind w:firstLineChars="100" w:firstLine="180"/>
              <w:jc w:val="left"/>
              <w:rPr>
                <w:rFonts w:eastAsia="Times New Roman" w:cs="Times New Roman"/>
                <w:color w:val="000000"/>
                <w:sz w:val="18"/>
                <w:szCs w:val="18"/>
                <w:lang w:eastAsia="es-GT"/>
              </w:rPr>
            </w:pPr>
            <w:r w:rsidRPr="00844F46">
              <w:rPr>
                <w:rFonts w:eastAsia="Times New Roman" w:cs="Times New Roman"/>
                <w:color w:val="000000"/>
                <w:sz w:val="18"/>
                <w:szCs w:val="18"/>
                <w:lang w:eastAsia="es-GT"/>
              </w:rPr>
              <w:t>Préstamos</w:t>
            </w:r>
          </w:p>
        </w:tc>
        <w:tc>
          <w:tcPr>
            <w:tcW w:w="945" w:type="dxa"/>
            <w:tcBorders>
              <w:top w:val="nil"/>
              <w:left w:val="nil"/>
              <w:bottom w:val="nil"/>
              <w:right w:val="nil"/>
            </w:tcBorders>
            <w:shd w:val="clear" w:color="auto" w:fill="auto"/>
            <w:noWrap/>
            <w:vAlign w:val="center"/>
            <w:hideMark/>
          </w:tcPr>
          <w:p w14:paraId="6155AAD2" w14:textId="52E134D8" w:rsidR="00BC4811" w:rsidRPr="00844F46" w:rsidRDefault="00BC4811" w:rsidP="00BC4811">
            <w:pPr>
              <w:jc w:val="center"/>
              <w:rPr>
                <w:rFonts w:eastAsia="Times New Roman" w:cs="Times New Roman"/>
                <w:color w:val="000000"/>
                <w:sz w:val="18"/>
                <w:szCs w:val="18"/>
                <w:lang w:eastAsia="es-GT"/>
              </w:rPr>
            </w:pPr>
            <w:r>
              <w:rPr>
                <w:color w:val="000000"/>
                <w:sz w:val="18"/>
                <w:szCs w:val="18"/>
              </w:rPr>
              <w:t>1,111.7</w:t>
            </w:r>
          </w:p>
        </w:tc>
        <w:tc>
          <w:tcPr>
            <w:tcW w:w="945" w:type="dxa"/>
            <w:tcBorders>
              <w:top w:val="nil"/>
              <w:left w:val="nil"/>
              <w:bottom w:val="nil"/>
              <w:right w:val="nil"/>
            </w:tcBorders>
            <w:shd w:val="clear" w:color="auto" w:fill="auto"/>
            <w:noWrap/>
            <w:vAlign w:val="center"/>
            <w:hideMark/>
          </w:tcPr>
          <w:p w14:paraId="2E871973" w14:textId="519BE4ED" w:rsidR="00BC4811" w:rsidRPr="00844F46" w:rsidRDefault="00BC4811" w:rsidP="00BC4811">
            <w:pPr>
              <w:jc w:val="center"/>
              <w:rPr>
                <w:rFonts w:eastAsia="Times New Roman" w:cs="Times New Roman"/>
                <w:color w:val="000000"/>
                <w:sz w:val="18"/>
                <w:szCs w:val="18"/>
                <w:lang w:eastAsia="es-GT"/>
              </w:rPr>
            </w:pPr>
            <w:r>
              <w:rPr>
                <w:color w:val="000000"/>
                <w:sz w:val="18"/>
                <w:szCs w:val="18"/>
              </w:rPr>
              <w:t>-1,226.0</w:t>
            </w:r>
          </w:p>
        </w:tc>
        <w:tc>
          <w:tcPr>
            <w:tcW w:w="945" w:type="dxa"/>
            <w:tcBorders>
              <w:top w:val="nil"/>
              <w:left w:val="dotDash" w:sz="4" w:space="0" w:color="auto"/>
              <w:bottom w:val="nil"/>
              <w:right w:val="nil"/>
            </w:tcBorders>
            <w:shd w:val="clear" w:color="auto" w:fill="auto"/>
            <w:noWrap/>
            <w:vAlign w:val="center"/>
            <w:hideMark/>
          </w:tcPr>
          <w:p w14:paraId="0FE81E7B" w14:textId="6EC96730" w:rsidR="00BC4811" w:rsidRPr="00844F46" w:rsidRDefault="00BC4811" w:rsidP="00BC4811">
            <w:pPr>
              <w:jc w:val="center"/>
              <w:rPr>
                <w:rFonts w:eastAsia="Times New Roman" w:cs="Times New Roman"/>
                <w:color w:val="000000"/>
                <w:sz w:val="18"/>
                <w:szCs w:val="18"/>
                <w:lang w:eastAsia="es-GT"/>
              </w:rPr>
            </w:pPr>
            <w:r>
              <w:rPr>
                <w:color w:val="000000"/>
                <w:sz w:val="18"/>
                <w:szCs w:val="18"/>
              </w:rPr>
              <w:t>-2,337.8</w:t>
            </w:r>
          </w:p>
        </w:tc>
        <w:tc>
          <w:tcPr>
            <w:tcW w:w="911" w:type="dxa"/>
            <w:tcBorders>
              <w:top w:val="nil"/>
              <w:left w:val="nil"/>
              <w:bottom w:val="nil"/>
              <w:right w:val="nil"/>
            </w:tcBorders>
            <w:shd w:val="clear" w:color="auto" w:fill="auto"/>
            <w:noWrap/>
            <w:vAlign w:val="center"/>
            <w:hideMark/>
          </w:tcPr>
          <w:p w14:paraId="56E61605" w14:textId="7361BA30" w:rsidR="00BC4811" w:rsidRPr="00844F46" w:rsidRDefault="00BC4811" w:rsidP="00BC4811">
            <w:pPr>
              <w:jc w:val="center"/>
              <w:rPr>
                <w:rFonts w:eastAsia="Times New Roman" w:cs="Times New Roman"/>
                <w:color w:val="000000"/>
                <w:sz w:val="18"/>
                <w:szCs w:val="18"/>
                <w:lang w:eastAsia="es-GT"/>
              </w:rPr>
            </w:pPr>
            <w:r>
              <w:rPr>
                <w:color w:val="000000"/>
                <w:sz w:val="18"/>
                <w:szCs w:val="18"/>
              </w:rPr>
              <w:t>-210.3</w:t>
            </w:r>
          </w:p>
        </w:tc>
      </w:tr>
      <w:tr w:rsidR="00BC4811" w:rsidRPr="00844F46" w14:paraId="5E73C6BF" w14:textId="77777777" w:rsidTr="002700BC">
        <w:trPr>
          <w:trHeight w:val="255"/>
          <w:jc w:val="center"/>
        </w:trPr>
        <w:tc>
          <w:tcPr>
            <w:tcW w:w="3467" w:type="dxa"/>
            <w:tcBorders>
              <w:top w:val="nil"/>
              <w:left w:val="nil"/>
              <w:bottom w:val="nil"/>
              <w:right w:val="nil"/>
            </w:tcBorders>
            <w:shd w:val="clear" w:color="auto" w:fill="auto"/>
            <w:noWrap/>
            <w:vAlign w:val="center"/>
            <w:hideMark/>
          </w:tcPr>
          <w:p w14:paraId="78F0BFD6" w14:textId="77777777" w:rsidR="00BC4811" w:rsidRPr="00844F46" w:rsidRDefault="00BC4811" w:rsidP="00BC4811">
            <w:pPr>
              <w:ind w:firstLineChars="100" w:firstLine="180"/>
              <w:jc w:val="left"/>
              <w:rPr>
                <w:rFonts w:eastAsia="Times New Roman" w:cs="Times New Roman"/>
                <w:color w:val="000000"/>
                <w:sz w:val="18"/>
                <w:szCs w:val="18"/>
                <w:lang w:eastAsia="es-GT"/>
              </w:rPr>
            </w:pPr>
            <w:r w:rsidRPr="00844F46">
              <w:rPr>
                <w:rFonts w:eastAsia="Times New Roman" w:cs="Times New Roman"/>
                <w:color w:val="000000"/>
                <w:sz w:val="18"/>
                <w:szCs w:val="18"/>
                <w:lang w:eastAsia="es-GT"/>
              </w:rPr>
              <w:t>Otros</w:t>
            </w:r>
          </w:p>
        </w:tc>
        <w:tc>
          <w:tcPr>
            <w:tcW w:w="945" w:type="dxa"/>
            <w:tcBorders>
              <w:top w:val="nil"/>
              <w:left w:val="nil"/>
              <w:bottom w:val="nil"/>
              <w:right w:val="nil"/>
            </w:tcBorders>
            <w:shd w:val="clear" w:color="auto" w:fill="auto"/>
            <w:noWrap/>
            <w:vAlign w:val="center"/>
            <w:hideMark/>
          </w:tcPr>
          <w:p w14:paraId="46FC61EA" w14:textId="7577D4C4" w:rsidR="00BC4811" w:rsidRPr="00844F46" w:rsidRDefault="00BC4811" w:rsidP="00BC4811">
            <w:pPr>
              <w:jc w:val="center"/>
              <w:rPr>
                <w:rFonts w:eastAsia="Times New Roman" w:cs="Times New Roman"/>
                <w:color w:val="000000"/>
                <w:sz w:val="18"/>
                <w:szCs w:val="18"/>
                <w:lang w:eastAsia="es-GT"/>
              </w:rPr>
            </w:pPr>
            <w:r>
              <w:rPr>
                <w:color w:val="000000"/>
                <w:sz w:val="18"/>
                <w:szCs w:val="18"/>
              </w:rPr>
              <w:t>-22.6</w:t>
            </w:r>
          </w:p>
        </w:tc>
        <w:tc>
          <w:tcPr>
            <w:tcW w:w="945" w:type="dxa"/>
            <w:tcBorders>
              <w:top w:val="nil"/>
              <w:left w:val="nil"/>
              <w:bottom w:val="nil"/>
              <w:right w:val="nil"/>
            </w:tcBorders>
            <w:shd w:val="clear" w:color="auto" w:fill="auto"/>
            <w:noWrap/>
            <w:vAlign w:val="center"/>
            <w:hideMark/>
          </w:tcPr>
          <w:p w14:paraId="5B451A82" w14:textId="22487DB3" w:rsidR="00BC4811" w:rsidRPr="00844F46" w:rsidRDefault="00BC4811" w:rsidP="00BC4811">
            <w:pPr>
              <w:jc w:val="center"/>
              <w:rPr>
                <w:rFonts w:eastAsia="Times New Roman" w:cs="Times New Roman"/>
                <w:color w:val="000000"/>
                <w:sz w:val="18"/>
                <w:szCs w:val="18"/>
                <w:lang w:eastAsia="es-GT"/>
              </w:rPr>
            </w:pPr>
            <w:r>
              <w:rPr>
                <w:color w:val="000000"/>
                <w:sz w:val="18"/>
                <w:szCs w:val="18"/>
              </w:rPr>
              <w:t>-442.1</w:t>
            </w:r>
          </w:p>
        </w:tc>
        <w:tc>
          <w:tcPr>
            <w:tcW w:w="945" w:type="dxa"/>
            <w:tcBorders>
              <w:top w:val="nil"/>
              <w:left w:val="dotDash" w:sz="4" w:space="0" w:color="auto"/>
              <w:bottom w:val="nil"/>
              <w:right w:val="nil"/>
            </w:tcBorders>
            <w:shd w:val="clear" w:color="auto" w:fill="auto"/>
            <w:noWrap/>
            <w:vAlign w:val="center"/>
            <w:hideMark/>
          </w:tcPr>
          <w:p w14:paraId="0516D887" w14:textId="0C0571D6" w:rsidR="00BC4811" w:rsidRPr="00844F46" w:rsidRDefault="00BC4811" w:rsidP="00BC4811">
            <w:pPr>
              <w:jc w:val="center"/>
              <w:rPr>
                <w:rFonts w:eastAsia="Times New Roman" w:cs="Times New Roman"/>
                <w:color w:val="000000"/>
                <w:sz w:val="18"/>
                <w:szCs w:val="18"/>
                <w:lang w:eastAsia="es-GT"/>
              </w:rPr>
            </w:pPr>
            <w:r>
              <w:rPr>
                <w:color w:val="000000"/>
                <w:sz w:val="18"/>
                <w:szCs w:val="18"/>
              </w:rPr>
              <w:t>-419.6</w:t>
            </w:r>
          </w:p>
        </w:tc>
        <w:tc>
          <w:tcPr>
            <w:tcW w:w="911" w:type="dxa"/>
            <w:tcBorders>
              <w:top w:val="nil"/>
              <w:left w:val="nil"/>
              <w:bottom w:val="nil"/>
              <w:right w:val="nil"/>
            </w:tcBorders>
            <w:shd w:val="clear" w:color="auto" w:fill="auto"/>
            <w:noWrap/>
            <w:vAlign w:val="center"/>
            <w:hideMark/>
          </w:tcPr>
          <w:p w14:paraId="587D6AB7" w14:textId="6357DF5E" w:rsidR="00BC4811" w:rsidRPr="00844F46" w:rsidRDefault="00BC4811" w:rsidP="00BC4811">
            <w:pPr>
              <w:jc w:val="center"/>
              <w:rPr>
                <w:rFonts w:eastAsia="Times New Roman" w:cs="Times New Roman"/>
                <w:color w:val="000000"/>
                <w:sz w:val="18"/>
                <w:szCs w:val="18"/>
                <w:lang w:eastAsia="es-GT"/>
              </w:rPr>
            </w:pPr>
            <w:r>
              <w:rPr>
                <w:color w:val="000000"/>
                <w:sz w:val="18"/>
                <w:szCs w:val="18"/>
              </w:rPr>
              <w:t>1,858.9</w:t>
            </w:r>
          </w:p>
        </w:tc>
      </w:tr>
      <w:tr w:rsidR="00BC4811" w:rsidRPr="00844F46" w14:paraId="3810DEE7" w14:textId="77777777" w:rsidTr="002700BC">
        <w:trPr>
          <w:trHeight w:val="255"/>
          <w:jc w:val="center"/>
        </w:trPr>
        <w:tc>
          <w:tcPr>
            <w:tcW w:w="3467" w:type="dxa"/>
            <w:tcBorders>
              <w:top w:val="nil"/>
              <w:left w:val="nil"/>
              <w:bottom w:val="nil"/>
              <w:right w:val="nil"/>
            </w:tcBorders>
            <w:shd w:val="clear" w:color="auto" w:fill="auto"/>
            <w:noWrap/>
            <w:vAlign w:val="center"/>
            <w:hideMark/>
          </w:tcPr>
          <w:p w14:paraId="1A9C662E" w14:textId="77777777" w:rsidR="00BC4811" w:rsidRPr="00844F46" w:rsidRDefault="00BC4811" w:rsidP="00BC4811">
            <w:pPr>
              <w:rPr>
                <w:rFonts w:eastAsia="Times New Roman" w:cs="Times New Roman"/>
                <w:b/>
                <w:bCs/>
                <w:color w:val="000000"/>
                <w:sz w:val="18"/>
                <w:szCs w:val="18"/>
                <w:lang w:eastAsia="es-GT"/>
              </w:rPr>
            </w:pPr>
            <w:r w:rsidRPr="00844F46">
              <w:rPr>
                <w:rFonts w:eastAsia="Times New Roman" w:cs="Times New Roman"/>
                <w:b/>
                <w:bCs/>
                <w:color w:val="000000"/>
                <w:sz w:val="18"/>
                <w:szCs w:val="18"/>
                <w:lang w:eastAsia="es-GT"/>
              </w:rPr>
              <w:t>Discrepancia estadística global</w:t>
            </w:r>
          </w:p>
        </w:tc>
        <w:tc>
          <w:tcPr>
            <w:tcW w:w="945" w:type="dxa"/>
            <w:tcBorders>
              <w:top w:val="nil"/>
              <w:left w:val="nil"/>
              <w:bottom w:val="nil"/>
              <w:right w:val="nil"/>
            </w:tcBorders>
            <w:shd w:val="clear" w:color="auto" w:fill="auto"/>
            <w:noWrap/>
            <w:vAlign w:val="center"/>
            <w:hideMark/>
          </w:tcPr>
          <w:p w14:paraId="7D08AF8D" w14:textId="36AEA7B5" w:rsidR="00BC4811" w:rsidRPr="00844F46" w:rsidRDefault="00BC4811" w:rsidP="00BC4811">
            <w:pPr>
              <w:jc w:val="center"/>
              <w:rPr>
                <w:rFonts w:eastAsia="Times New Roman" w:cs="Times New Roman"/>
                <w:b/>
                <w:bCs/>
                <w:color w:val="000000"/>
                <w:sz w:val="18"/>
                <w:szCs w:val="18"/>
                <w:lang w:eastAsia="es-GT"/>
              </w:rPr>
            </w:pPr>
            <w:r>
              <w:rPr>
                <w:b/>
                <w:bCs/>
                <w:color w:val="000000"/>
                <w:sz w:val="18"/>
                <w:szCs w:val="18"/>
              </w:rPr>
              <w:t>-1,077.7</w:t>
            </w:r>
          </w:p>
        </w:tc>
        <w:tc>
          <w:tcPr>
            <w:tcW w:w="945" w:type="dxa"/>
            <w:tcBorders>
              <w:top w:val="nil"/>
              <w:left w:val="nil"/>
              <w:bottom w:val="nil"/>
              <w:right w:val="nil"/>
            </w:tcBorders>
            <w:shd w:val="clear" w:color="auto" w:fill="auto"/>
            <w:noWrap/>
            <w:vAlign w:val="center"/>
            <w:hideMark/>
          </w:tcPr>
          <w:p w14:paraId="5143A0F1" w14:textId="620B0161" w:rsidR="00BC4811" w:rsidRPr="00844F46" w:rsidRDefault="00BC4811" w:rsidP="00BC4811">
            <w:pPr>
              <w:jc w:val="center"/>
              <w:rPr>
                <w:rFonts w:eastAsia="Times New Roman" w:cs="Times New Roman"/>
                <w:b/>
                <w:bCs/>
                <w:color w:val="000000"/>
                <w:sz w:val="18"/>
                <w:szCs w:val="18"/>
                <w:lang w:eastAsia="es-GT"/>
              </w:rPr>
            </w:pPr>
            <w:r>
              <w:rPr>
                <w:b/>
                <w:bCs/>
                <w:color w:val="000000"/>
                <w:sz w:val="18"/>
                <w:szCs w:val="18"/>
              </w:rPr>
              <w:t>1,184.8</w:t>
            </w:r>
          </w:p>
        </w:tc>
        <w:tc>
          <w:tcPr>
            <w:tcW w:w="945" w:type="dxa"/>
            <w:tcBorders>
              <w:top w:val="nil"/>
              <w:left w:val="dotDash" w:sz="4" w:space="0" w:color="auto"/>
              <w:bottom w:val="nil"/>
              <w:right w:val="nil"/>
            </w:tcBorders>
            <w:shd w:val="clear" w:color="auto" w:fill="auto"/>
            <w:noWrap/>
            <w:vAlign w:val="center"/>
            <w:hideMark/>
          </w:tcPr>
          <w:p w14:paraId="2A822CF9" w14:textId="608B149D" w:rsidR="00BC4811" w:rsidRPr="00844F46" w:rsidRDefault="00BC4811" w:rsidP="00BC4811">
            <w:pPr>
              <w:jc w:val="center"/>
              <w:rPr>
                <w:rFonts w:eastAsia="Times New Roman" w:cs="Times New Roman"/>
                <w:b/>
                <w:bCs/>
                <w:color w:val="000000"/>
                <w:sz w:val="18"/>
                <w:szCs w:val="18"/>
                <w:lang w:eastAsia="es-GT"/>
              </w:rPr>
            </w:pPr>
            <w:r>
              <w:rPr>
                <w:b/>
                <w:bCs/>
                <w:color w:val="000000"/>
                <w:sz w:val="18"/>
                <w:szCs w:val="18"/>
              </w:rPr>
              <w:t>2,262.5</w:t>
            </w:r>
          </w:p>
        </w:tc>
        <w:tc>
          <w:tcPr>
            <w:tcW w:w="911" w:type="dxa"/>
            <w:tcBorders>
              <w:top w:val="nil"/>
              <w:left w:val="nil"/>
              <w:bottom w:val="nil"/>
              <w:right w:val="nil"/>
            </w:tcBorders>
            <w:shd w:val="clear" w:color="auto" w:fill="auto"/>
            <w:noWrap/>
            <w:vAlign w:val="center"/>
            <w:hideMark/>
          </w:tcPr>
          <w:p w14:paraId="5F0403C1" w14:textId="47453866" w:rsidR="00BC4811" w:rsidRPr="00844F46" w:rsidRDefault="00BC4811" w:rsidP="00BC4811">
            <w:pPr>
              <w:jc w:val="center"/>
              <w:rPr>
                <w:rFonts w:eastAsia="Times New Roman" w:cs="Times New Roman"/>
                <w:b/>
                <w:bCs/>
                <w:color w:val="000000"/>
                <w:sz w:val="18"/>
                <w:szCs w:val="18"/>
                <w:lang w:eastAsia="es-GT"/>
              </w:rPr>
            </w:pPr>
            <w:r>
              <w:rPr>
                <w:b/>
                <w:bCs/>
                <w:color w:val="000000"/>
                <w:sz w:val="18"/>
                <w:szCs w:val="18"/>
              </w:rPr>
              <w:t>-209.9</w:t>
            </w:r>
          </w:p>
        </w:tc>
      </w:tr>
    </w:tbl>
    <w:p w14:paraId="77198D96" w14:textId="50772757" w:rsidR="003C303F" w:rsidRPr="00AC1506" w:rsidRDefault="003C303F" w:rsidP="007105EE">
      <w:pPr>
        <w:ind w:left="1134"/>
        <w:rPr>
          <w:rFonts w:cs="Times New Roman"/>
          <w:sz w:val="16"/>
          <w:szCs w:val="22"/>
          <w:lang w:val="es-MX"/>
        </w:rPr>
      </w:pPr>
      <w:r w:rsidRPr="00AC1506">
        <w:rPr>
          <w:rFonts w:cs="Times New Roman"/>
          <w:sz w:val="16"/>
          <w:szCs w:val="22"/>
          <w:lang w:val="es-MX"/>
        </w:rPr>
        <w:t>*Cifras preliminares</w:t>
      </w:r>
    </w:p>
    <w:p w14:paraId="2A59A8D5" w14:textId="77777777" w:rsidR="003C303F" w:rsidRPr="00BF230D" w:rsidRDefault="003C303F" w:rsidP="007105EE">
      <w:pPr>
        <w:ind w:left="1134"/>
        <w:rPr>
          <w:rFonts w:cs="Times New Roman"/>
          <w:sz w:val="16"/>
          <w:szCs w:val="22"/>
          <w:lang w:val="es-MX"/>
        </w:rPr>
      </w:pPr>
      <w:r w:rsidRPr="00AC1506">
        <w:rPr>
          <w:rFonts w:cs="Times New Roman"/>
          <w:sz w:val="16"/>
          <w:szCs w:val="22"/>
          <w:lang w:val="es-MX"/>
        </w:rPr>
        <w:t>Fuente: MINFIN</w:t>
      </w:r>
    </w:p>
    <w:sectPr w:rsidR="003C303F" w:rsidRPr="00BF230D" w:rsidSect="00D319A6">
      <w:type w:val="continuous"/>
      <w:pgSz w:w="12240" w:h="15840" w:code="1"/>
      <w:pgMar w:top="1418" w:right="1418" w:bottom="1418" w:left="1418" w:header="709" w:footer="709" w:gutter="0"/>
      <w:pgNumType w:start="4"/>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9EF815" w14:textId="77777777" w:rsidR="00E002E7" w:rsidRDefault="00E002E7" w:rsidP="000B5E1C">
      <w:r>
        <w:separator/>
      </w:r>
    </w:p>
  </w:endnote>
  <w:endnote w:type="continuationSeparator" w:id="0">
    <w:p w14:paraId="05B258D7" w14:textId="77777777" w:rsidR="00E002E7" w:rsidRDefault="00E002E7" w:rsidP="000B5E1C">
      <w:r>
        <w:continuationSeparator/>
      </w:r>
    </w:p>
  </w:endnote>
  <w:endnote w:type="continuationNotice" w:id="1">
    <w:p w14:paraId="70D4429E" w14:textId="77777777" w:rsidR="00E002E7" w:rsidRDefault="00E002E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cs="Times New Roman"/>
        <w:i/>
        <w:color w:val="1F497D" w:themeColor="text2"/>
        <w:lang w:val="es-ES"/>
      </w:rPr>
      <w:id w:val="1089358670"/>
      <w:docPartObj>
        <w:docPartGallery w:val="Page Numbers (Bottom of Page)"/>
        <w:docPartUnique/>
      </w:docPartObj>
    </w:sdtPr>
    <w:sdtEndPr/>
    <w:sdtContent>
      <w:p w14:paraId="37044282" w14:textId="7E5C9B33" w:rsidR="000A5B5B" w:rsidRPr="00AC45C7" w:rsidRDefault="000A5B5B">
        <w:pPr>
          <w:pStyle w:val="Piedepgina"/>
          <w:jc w:val="right"/>
          <w:rPr>
            <w:rFonts w:cs="Times New Roman"/>
            <w:i/>
            <w:color w:val="1F497D" w:themeColor="text2"/>
          </w:rPr>
        </w:pPr>
        <w:r>
          <w:rPr>
            <w:rFonts w:cs="Times New Roman"/>
            <w:i/>
            <w:noProof/>
            <w:color w:val="1F497D" w:themeColor="text2"/>
            <w:lang w:eastAsia="es-GT"/>
          </w:rPr>
          <mc:AlternateContent>
            <mc:Choice Requires="wps">
              <w:drawing>
                <wp:anchor distT="0" distB="0" distL="114300" distR="114300" simplePos="0" relativeHeight="251658240" behindDoc="0" locked="0" layoutInCell="1" allowOverlap="1" wp14:anchorId="1B4743A9" wp14:editId="17FB757A">
                  <wp:simplePos x="0" y="0"/>
                  <wp:positionH relativeFrom="column">
                    <wp:posOffset>77580</wp:posOffset>
                  </wp:positionH>
                  <wp:positionV relativeFrom="paragraph">
                    <wp:posOffset>-58006</wp:posOffset>
                  </wp:positionV>
                  <wp:extent cx="6027089" cy="47708"/>
                  <wp:effectExtent l="0" t="0" r="12065" b="28575"/>
                  <wp:wrapNone/>
                  <wp:docPr id="43" name="43 Rectángulo"/>
                  <wp:cNvGraphicFramePr/>
                  <a:graphic xmlns:a="http://schemas.openxmlformats.org/drawingml/2006/main">
                    <a:graphicData uri="http://schemas.microsoft.com/office/word/2010/wordprocessingShape">
                      <wps:wsp>
                        <wps:cNvSpPr/>
                        <wps:spPr>
                          <a:xfrm>
                            <a:off x="0" y="0"/>
                            <a:ext cx="6027089" cy="47708"/>
                          </a:xfrm>
                          <a:prstGeom prst="rect">
                            <a:avLst/>
                          </a:prstGeom>
                          <a:gradFill flip="none" rotWithShape="1">
                            <a:gsLst>
                              <a:gs pos="0">
                                <a:schemeClr val="accent1">
                                  <a:tint val="66000"/>
                                  <a:satMod val="160000"/>
                                </a:schemeClr>
                              </a:gs>
                              <a:gs pos="77000">
                                <a:schemeClr val="accent1">
                                  <a:tint val="44500"/>
                                  <a:satMod val="160000"/>
                                </a:schemeClr>
                              </a:gs>
                              <a:gs pos="99000">
                                <a:schemeClr val="bg1">
                                  <a:lumMod val="95000"/>
                                </a:schemeClr>
                              </a:gs>
                              <a:gs pos="89000">
                                <a:schemeClr val="accent1">
                                  <a:tint val="23500"/>
                                  <a:satMod val="160000"/>
                                </a:schemeClr>
                              </a:gs>
                            </a:gsLst>
                            <a:lin ang="0" scaled="0"/>
                            <a:tileRect/>
                          </a:gradFill>
                          <a:ln>
                            <a:gradFill>
                              <a:gsLst>
                                <a:gs pos="0">
                                  <a:schemeClr val="accent1">
                                    <a:tint val="66000"/>
                                    <a:satMod val="160000"/>
                                  </a:schemeClr>
                                </a:gs>
                                <a:gs pos="77000">
                                  <a:schemeClr val="accent1">
                                    <a:tint val="44500"/>
                                    <a:satMod val="160000"/>
                                  </a:schemeClr>
                                </a:gs>
                                <a:gs pos="99000">
                                  <a:schemeClr val="bg1">
                                    <a:lumMod val="95000"/>
                                  </a:schemeClr>
                                </a:gs>
                                <a:gs pos="89000">
                                  <a:schemeClr val="accent1">
                                    <a:tint val="23500"/>
                                    <a:satMod val="160000"/>
                                  </a:schemeClr>
                                </a:gs>
                              </a:gsLst>
                              <a:lin ang="5400000" scaled="0"/>
                            </a:gra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FB786D9" id="43 Rectángulo" o:spid="_x0000_s1026" style="position:absolute;margin-left:6.1pt;margin-top:-4.55pt;width:474.55pt;height:3.75pt;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" fillcolor="#8aabd3 [2132]" strokeweight="2pt">
                  <v:fill color2="#f2f2f2 [3052]" rotate="t" angle="90" colors="0 #9ab5e4;50463f #c2d1ed;58327f #e1e8f5;64881f #f2f2f2" focus="100%" type="gradient">
                    <o:fill v:ext="view" type="gradientUnscaled"/>
                  </v:fill>
                </v:rect>
              </w:pict>
            </mc:Fallback>
          </mc:AlternateContent>
        </w:r>
        <w:r w:rsidRPr="00AC45C7">
          <w:rPr>
            <w:rFonts w:cs="Times New Roman"/>
            <w:i/>
            <w:color w:val="1F497D" w:themeColor="text2"/>
            <w:lang w:val="es-ES"/>
          </w:rPr>
          <w:t xml:space="preserve">Página | </w:t>
        </w:r>
        <w:r w:rsidRPr="00AC45C7">
          <w:rPr>
            <w:rFonts w:cs="Times New Roman"/>
            <w:i/>
            <w:color w:val="1F497D" w:themeColor="text2"/>
          </w:rPr>
          <w:fldChar w:fldCharType="begin"/>
        </w:r>
        <w:r w:rsidRPr="00AC45C7">
          <w:rPr>
            <w:rFonts w:cs="Times New Roman"/>
            <w:i/>
            <w:color w:val="1F497D" w:themeColor="text2"/>
          </w:rPr>
          <w:instrText>PAGE   \* MERGEFORMAT</w:instrText>
        </w:r>
        <w:r w:rsidRPr="00AC45C7">
          <w:rPr>
            <w:rFonts w:cs="Times New Roman"/>
            <w:i/>
            <w:color w:val="1F497D" w:themeColor="text2"/>
          </w:rPr>
          <w:fldChar w:fldCharType="separate"/>
        </w:r>
        <w:r w:rsidR="003D4587" w:rsidRPr="003D4587">
          <w:rPr>
            <w:rFonts w:cs="Times New Roman"/>
            <w:i/>
            <w:noProof/>
            <w:color w:val="1F497D" w:themeColor="text2"/>
            <w:lang w:val="es-ES"/>
          </w:rPr>
          <w:t>3</w:t>
        </w:r>
        <w:r w:rsidRPr="00AC45C7">
          <w:rPr>
            <w:rFonts w:cs="Times New Roman"/>
            <w:i/>
            <w:color w:val="1F497D" w:themeColor="text2"/>
          </w:rPr>
          <w:fldChar w:fldCharType="end"/>
        </w:r>
        <w:r w:rsidRPr="00AC45C7">
          <w:rPr>
            <w:rFonts w:cs="Times New Roman"/>
            <w:i/>
            <w:color w:val="1F497D" w:themeColor="text2"/>
            <w:lang w:val="es-ES"/>
          </w:rPr>
          <w:t xml:space="preserve"> </w:t>
        </w:r>
      </w:p>
    </w:sdtContent>
  </w:sdt>
  <w:p w14:paraId="39784CD2" w14:textId="33300430" w:rsidR="000A5B5B" w:rsidRPr="00D5619D" w:rsidRDefault="000A5B5B" w:rsidP="003813F7">
    <w:pPr>
      <w:pStyle w:val="Piedepgina"/>
      <w:tabs>
        <w:tab w:val="clear" w:pos="8838"/>
        <w:tab w:val="left" w:pos="5173"/>
      </w:tabs>
      <w:rPr>
        <w:rFonts w:cs="Times New Roman"/>
        <w:i/>
        <w:color w:val="1F497D" w:themeColor="text2"/>
      </w:rPr>
    </w:pPr>
    <w:r w:rsidRPr="00D5619D">
      <w:rPr>
        <w:rFonts w:cs="Times New Roman"/>
        <w:i/>
        <w:color w:val="1F497D" w:themeColor="text2"/>
      </w:rPr>
      <w:t>Informe d</w:t>
    </w:r>
    <w:r>
      <w:rPr>
        <w:rFonts w:cs="Times New Roman"/>
        <w:i/>
        <w:color w:val="1F497D" w:themeColor="text2"/>
      </w:rPr>
      <w:t>e las Finanzas Públicas - Segundo Trimestre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237582" w14:textId="77777777" w:rsidR="000A5B5B" w:rsidRDefault="000A5B5B">
    <w:pPr>
      <w:pStyle w:val="Piedepgina"/>
    </w:pPr>
    <w:r>
      <w:rPr>
        <w:rFonts w:cs="Times New Roman"/>
        <w:i/>
        <w:noProof/>
        <w:color w:val="1F497D" w:themeColor="text2"/>
        <w:lang w:eastAsia="es-GT"/>
      </w:rPr>
      <mc:AlternateContent>
        <mc:Choice Requires="wps">
          <w:drawing>
            <wp:anchor distT="0" distB="0" distL="114300" distR="114300" simplePos="0" relativeHeight="251658242" behindDoc="0" locked="0" layoutInCell="1" allowOverlap="1" wp14:anchorId="2C67F3FC" wp14:editId="2B07D3AE">
              <wp:simplePos x="0" y="0"/>
              <wp:positionH relativeFrom="column">
                <wp:posOffset>77580</wp:posOffset>
              </wp:positionH>
              <wp:positionV relativeFrom="paragraph">
                <wp:posOffset>-206568</wp:posOffset>
              </wp:positionV>
              <wp:extent cx="5931315" cy="47625"/>
              <wp:effectExtent l="0" t="0" r="12700" b="28575"/>
              <wp:wrapNone/>
              <wp:docPr id="45" name="45 Rectángulo"/>
              <wp:cNvGraphicFramePr/>
              <a:graphic xmlns:a="http://schemas.openxmlformats.org/drawingml/2006/main">
                <a:graphicData uri="http://schemas.microsoft.com/office/word/2010/wordprocessingShape">
                  <wps:wsp>
                    <wps:cNvSpPr/>
                    <wps:spPr>
                      <a:xfrm>
                        <a:off x="0" y="0"/>
                        <a:ext cx="5931315" cy="47625"/>
                      </a:xfrm>
                      <a:prstGeom prst="rect">
                        <a:avLst/>
                      </a:prstGeom>
                      <a:gradFill flip="none" rotWithShape="1">
                        <a:gsLst>
                          <a:gs pos="0">
                            <a:schemeClr val="accent1">
                              <a:tint val="66000"/>
                              <a:satMod val="160000"/>
                            </a:schemeClr>
                          </a:gs>
                          <a:gs pos="77000">
                            <a:schemeClr val="accent1">
                              <a:tint val="44500"/>
                              <a:satMod val="160000"/>
                            </a:schemeClr>
                          </a:gs>
                          <a:gs pos="99000">
                            <a:schemeClr val="bg1">
                              <a:lumMod val="95000"/>
                            </a:schemeClr>
                          </a:gs>
                          <a:gs pos="89000">
                            <a:schemeClr val="accent1">
                              <a:tint val="23500"/>
                              <a:satMod val="160000"/>
                            </a:schemeClr>
                          </a:gs>
                        </a:gsLst>
                        <a:lin ang="0" scaled="0"/>
                        <a:tileRect/>
                      </a:gradFill>
                      <a:ln>
                        <a:gradFill>
                          <a:gsLst>
                            <a:gs pos="0">
                              <a:schemeClr val="accent1">
                                <a:tint val="66000"/>
                                <a:satMod val="160000"/>
                              </a:schemeClr>
                            </a:gs>
                            <a:gs pos="77000">
                              <a:schemeClr val="accent1">
                                <a:tint val="44500"/>
                                <a:satMod val="160000"/>
                              </a:schemeClr>
                            </a:gs>
                            <a:gs pos="99000">
                              <a:schemeClr val="bg1">
                                <a:lumMod val="95000"/>
                              </a:schemeClr>
                            </a:gs>
                            <a:gs pos="89000">
                              <a:schemeClr val="accent1">
                                <a:tint val="23500"/>
                                <a:satMod val="160000"/>
                              </a:schemeClr>
                            </a:gs>
                          </a:gsLst>
                          <a:lin ang="5400000" scaled="0"/>
                        </a:gra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341B46B" id="45 Rectángulo" o:spid="_x0000_s1026" style="position:absolute;margin-left:6.1pt;margin-top:-16.25pt;width:467.05pt;height:3.75pt;z-index:25165824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" fillcolor="#8aabd3 [2132]" strokeweight="2pt">
              <v:fill color2="#f2f2f2 [3052]" rotate="t" angle="90" colors="0 #9ab5e4;50463f #c2d1ed;58327f #e1e8f5;64881f #f2f2f2" focus="100%" type="gradient">
                <o:fill v:ext="view" type="gradientUnscaled"/>
              </v:fill>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F47445" w14:textId="77777777" w:rsidR="00E002E7" w:rsidRDefault="00E002E7" w:rsidP="000B5E1C">
      <w:r>
        <w:separator/>
      </w:r>
    </w:p>
  </w:footnote>
  <w:footnote w:type="continuationSeparator" w:id="0">
    <w:p w14:paraId="57199879" w14:textId="77777777" w:rsidR="00E002E7" w:rsidRDefault="00E002E7" w:rsidP="000B5E1C">
      <w:r>
        <w:continuationSeparator/>
      </w:r>
    </w:p>
  </w:footnote>
  <w:footnote w:type="continuationNotice" w:id="1">
    <w:p w14:paraId="3FE4EBE6" w14:textId="77777777" w:rsidR="00E002E7" w:rsidRDefault="00E002E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0E444E" w14:textId="6B32DBCA" w:rsidR="000A5B5B" w:rsidRPr="00AC45C7" w:rsidRDefault="000A5B5B" w:rsidP="00AC45C7">
    <w:pPr>
      <w:pStyle w:val="Encabezado"/>
      <w:jc w:val="right"/>
      <w:rPr>
        <w:rFonts w:cs="Times New Roman"/>
        <w:i/>
        <w:color w:val="1F497D" w:themeColor="text2"/>
      </w:rPr>
    </w:pPr>
    <w:r>
      <w:rPr>
        <w:rFonts w:cs="Times New Roman"/>
        <w:i/>
        <w:noProof/>
        <w:color w:val="1F497D" w:themeColor="text2"/>
        <w:lang w:eastAsia="es-GT"/>
      </w:rPr>
      <mc:AlternateContent>
        <mc:Choice Requires="wps">
          <w:drawing>
            <wp:anchor distT="0" distB="0" distL="114300" distR="114300" simplePos="0" relativeHeight="251658241" behindDoc="0" locked="0" layoutInCell="1" allowOverlap="1" wp14:anchorId="26DEA52F" wp14:editId="5677A061">
              <wp:simplePos x="0" y="0"/>
              <wp:positionH relativeFrom="column">
                <wp:posOffset>1147787</wp:posOffset>
              </wp:positionH>
              <wp:positionV relativeFrom="paragraph">
                <wp:posOffset>315840</wp:posOffset>
              </wp:positionV>
              <wp:extent cx="4955442" cy="45719"/>
              <wp:effectExtent l="0" t="0" r="17145" b="12065"/>
              <wp:wrapNone/>
              <wp:docPr id="44" name="44 Rectángulo"/>
              <wp:cNvGraphicFramePr/>
              <a:graphic xmlns:a="http://schemas.openxmlformats.org/drawingml/2006/main">
                <a:graphicData uri="http://schemas.microsoft.com/office/word/2010/wordprocessingShape">
                  <wps:wsp>
                    <wps:cNvSpPr/>
                    <wps:spPr>
                      <a:xfrm>
                        <a:off x="0" y="0"/>
                        <a:ext cx="4955442" cy="45719"/>
                      </a:xfrm>
                      <a:prstGeom prst="rect">
                        <a:avLst/>
                      </a:prstGeom>
                      <a:gradFill flip="none" rotWithShape="1">
                        <a:gsLst>
                          <a:gs pos="0">
                            <a:schemeClr val="accent1">
                              <a:tint val="66000"/>
                              <a:satMod val="160000"/>
                            </a:schemeClr>
                          </a:gs>
                          <a:gs pos="77000">
                            <a:schemeClr val="accent1">
                              <a:tint val="44500"/>
                              <a:satMod val="160000"/>
                            </a:schemeClr>
                          </a:gs>
                          <a:gs pos="99000">
                            <a:schemeClr val="bg1">
                              <a:lumMod val="95000"/>
                            </a:schemeClr>
                          </a:gs>
                          <a:gs pos="89000">
                            <a:schemeClr val="accent1">
                              <a:tint val="23500"/>
                              <a:satMod val="160000"/>
                            </a:schemeClr>
                          </a:gs>
                        </a:gsLst>
                        <a:lin ang="0" scaled="0"/>
                        <a:tileRect/>
                      </a:gradFill>
                      <a:ln>
                        <a:gradFill>
                          <a:gsLst>
                            <a:gs pos="0">
                              <a:schemeClr val="accent1">
                                <a:tint val="66000"/>
                                <a:satMod val="160000"/>
                              </a:schemeClr>
                            </a:gs>
                            <a:gs pos="77000">
                              <a:schemeClr val="accent1">
                                <a:tint val="44500"/>
                                <a:satMod val="160000"/>
                              </a:schemeClr>
                            </a:gs>
                            <a:gs pos="99000">
                              <a:schemeClr val="bg1">
                                <a:lumMod val="95000"/>
                              </a:schemeClr>
                            </a:gs>
                            <a:gs pos="89000">
                              <a:schemeClr val="accent1">
                                <a:tint val="23500"/>
                                <a:satMod val="160000"/>
                              </a:schemeClr>
                            </a:gs>
                          </a:gsLst>
                          <a:lin ang="5400000" scaled="0"/>
                        </a:gra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7FD1918" id="44 Rectángulo" o:spid="_x0000_s1026" style="position:absolute;margin-left:90.4pt;margin-top:24.85pt;width:390.2pt;height:3.6pt;z-index:25165824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" fillcolor="#8aabd3 [2132]" strokeweight="2pt">
              <v:fill color2="#f2f2f2 [3052]" rotate="t" angle="90" colors="0 #9ab5e4;50463f #c2d1ed;58327f #e1e8f5;64881f #f2f2f2" focus="100%" type="gradient">
                <o:fill v:ext="view" type="gradientUnscaled"/>
              </v:fill>
            </v:rect>
          </w:pict>
        </mc:Fallback>
      </mc:AlternateContent>
    </w:r>
    <w:r w:rsidRPr="002E105E">
      <w:rPr>
        <w:noProof/>
        <w:sz w:val="20"/>
        <w:lang w:eastAsia="es-GT"/>
      </w:rPr>
      <w:drawing>
        <wp:anchor distT="0" distB="0" distL="114300" distR="114300" simplePos="0" relativeHeight="251660290" behindDoc="1" locked="1" layoutInCell="1" allowOverlap="1" wp14:anchorId="2B23BD24" wp14:editId="5AC8EE41">
          <wp:simplePos x="0" y="0"/>
          <wp:positionH relativeFrom="column">
            <wp:posOffset>-635</wp:posOffset>
          </wp:positionH>
          <wp:positionV relativeFrom="page">
            <wp:posOffset>10795</wp:posOffset>
          </wp:positionV>
          <wp:extent cx="1097280" cy="875030"/>
          <wp:effectExtent l="0" t="0" r="7620" b="1270"/>
          <wp:wrapNone/>
          <wp:docPr id="230" name="Picture 15" descr="Imagen que contiene 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Picture 15" descr="Imagen que contiene Diagrama&#10;&#10;Descripción generada automáticamente"/>
                  <pic:cNvPicPr/>
                </pic:nvPicPr>
                <pic:blipFill rotWithShape="1">
                  <a:blip r:embed="rId1">
                    <a:extLst>
                      <a:ext uri="{28A0092B-C50C-407E-A947-70E740481C1C}">
                        <a14:useLocalDpi xmlns:a14="http://schemas.microsoft.com/office/drawing/2010/main" val="0"/>
                      </a:ext>
                    </a:extLst>
                  </a:blip>
                  <a:srcRect l="80019" t="2313" r="3444" b="87481"/>
                  <a:stretch/>
                </pic:blipFill>
                <pic:spPr bwMode="auto">
                  <a:xfrm>
                    <a:off x="0" y="0"/>
                    <a:ext cx="1097280" cy="8750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C45C7">
      <w:rPr>
        <w:rFonts w:cs="Times New Roman"/>
        <w:i/>
        <w:color w:val="1F497D" w:themeColor="text2"/>
      </w:rPr>
      <w:t>Dirección de Análisis y Política Fiscal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18C581" w14:textId="01FEE6E9" w:rsidR="000A5B5B" w:rsidRPr="005329C2" w:rsidRDefault="000A5B5B" w:rsidP="00CB498E">
    <w:pPr>
      <w:pStyle w:val="Encabezado"/>
      <w:jc w:val="center"/>
      <w:rPr>
        <w:rFonts w:cs="Times New Roman"/>
        <w:i/>
        <w:color w:val="1F497D" w:themeColor="text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2B160D"/>
    <w:multiLevelType w:val="hybridMultilevel"/>
    <w:tmpl w:val="5652F5FA"/>
    <w:lvl w:ilvl="0" w:tplc="47281706">
      <w:start w:val="1"/>
      <w:numFmt w:val="bullet"/>
      <w:lvlText w:val="•"/>
      <w:lvlJc w:val="left"/>
      <w:pPr>
        <w:tabs>
          <w:tab w:val="num" w:pos="720"/>
        </w:tabs>
        <w:ind w:left="720" w:hanging="360"/>
      </w:pPr>
      <w:rPr>
        <w:rFonts w:ascii="Arial" w:hAnsi="Arial" w:hint="default"/>
      </w:rPr>
    </w:lvl>
    <w:lvl w:ilvl="1" w:tplc="100A0017">
      <w:start w:val="1"/>
      <w:numFmt w:val="lowerLetter"/>
      <w:lvlText w:val="%2)"/>
      <w:lvlJc w:val="left"/>
      <w:pPr>
        <w:tabs>
          <w:tab w:val="num" w:pos="1440"/>
        </w:tabs>
        <w:ind w:left="1440" w:hanging="360"/>
      </w:pPr>
      <w:rPr>
        <w:rFonts w:hint="default"/>
      </w:rPr>
    </w:lvl>
    <w:lvl w:ilvl="2" w:tplc="1C30B89C" w:tentative="1">
      <w:start w:val="1"/>
      <w:numFmt w:val="bullet"/>
      <w:lvlText w:val="•"/>
      <w:lvlJc w:val="left"/>
      <w:pPr>
        <w:tabs>
          <w:tab w:val="num" w:pos="2160"/>
        </w:tabs>
        <w:ind w:left="2160" w:hanging="360"/>
      </w:pPr>
      <w:rPr>
        <w:rFonts w:ascii="Arial" w:hAnsi="Arial" w:hint="default"/>
      </w:rPr>
    </w:lvl>
    <w:lvl w:ilvl="3" w:tplc="BC8E2AC2" w:tentative="1">
      <w:start w:val="1"/>
      <w:numFmt w:val="bullet"/>
      <w:lvlText w:val="•"/>
      <w:lvlJc w:val="left"/>
      <w:pPr>
        <w:tabs>
          <w:tab w:val="num" w:pos="2880"/>
        </w:tabs>
        <w:ind w:left="2880" w:hanging="360"/>
      </w:pPr>
      <w:rPr>
        <w:rFonts w:ascii="Arial" w:hAnsi="Arial" w:hint="default"/>
      </w:rPr>
    </w:lvl>
    <w:lvl w:ilvl="4" w:tplc="A130603C" w:tentative="1">
      <w:start w:val="1"/>
      <w:numFmt w:val="bullet"/>
      <w:lvlText w:val="•"/>
      <w:lvlJc w:val="left"/>
      <w:pPr>
        <w:tabs>
          <w:tab w:val="num" w:pos="3600"/>
        </w:tabs>
        <w:ind w:left="3600" w:hanging="360"/>
      </w:pPr>
      <w:rPr>
        <w:rFonts w:ascii="Arial" w:hAnsi="Arial" w:hint="default"/>
      </w:rPr>
    </w:lvl>
    <w:lvl w:ilvl="5" w:tplc="347CF7B6" w:tentative="1">
      <w:start w:val="1"/>
      <w:numFmt w:val="bullet"/>
      <w:lvlText w:val="•"/>
      <w:lvlJc w:val="left"/>
      <w:pPr>
        <w:tabs>
          <w:tab w:val="num" w:pos="4320"/>
        </w:tabs>
        <w:ind w:left="4320" w:hanging="360"/>
      </w:pPr>
      <w:rPr>
        <w:rFonts w:ascii="Arial" w:hAnsi="Arial" w:hint="default"/>
      </w:rPr>
    </w:lvl>
    <w:lvl w:ilvl="6" w:tplc="9580CE46" w:tentative="1">
      <w:start w:val="1"/>
      <w:numFmt w:val="bullet"/>
      <w:lvlText w:val="•"/>
      <w:lvlJc w:val="left"/>
      <w:pPr>
        <w:tabs>
          <w:tab w:val="num" w:pos="5040"/>
        </w:tabs>
        <w:ind w:left="5040" w:hanging="360"/>
      </w:pPr>
      <w:rPr>
        <w:rFonts w:ascii="Arial" w:hAnsi="Arial" w:hint="default"/>
      </w:rPr>
    </w:lvl>
    <w:lvl w:ilvl="7" w:tplc="1304CE74" w:tentative="1">
      <w:start w:val="1"/>
      <w:numFmt w:val="bullet"/>
      <w:lvlText w:val="•"/>
      <w:lvlJc w:val="left"/>
      <w:pPr>
        <w:tabs>
          <w:tab w:val="num" w:pos="5760"/>
        </w:tabs>
        <w:ind w:left="5760" w:hanging="360"/>
      </w:pPr>
      <w:rPr>
        <w:rFonts w:ascii="Arial" w:hAnsi="Arial" w:hint="default"/>
      </w:rPr>
    </w:lvl>
    <w:lvl w:ilvl="8" w:tplc="EBA26016"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111A32CD"/>
    <w:multiLevelType w:val="hybridMultilevel"/>
    <w:tmpl w:val="6818CFE4"/>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 w15:restartNumberingAfterBreak="0">
    <w:nsid w:val="130B3E59"/>
    <w:multiLevelType w:val="hybridMultilevel"/>
    <w:tmpl w:val="F832278A"/>
    <w:lvl w:ilvl="0" w:tplc="4142F532">
      <w:start w:val="1"/>
      <w:numFmt w:val="lowerLetter"/>
      <w:lvlText w:val="%1)"/>
      <w:lvlJc w:val="left"/>
      <w:pPr>
        <w:ind w:left="720" w:hanging="360"/>
      </w:pPr>
      <w:rPr>
        <w:rFonts w:hint="default"/>
        <w:b w:val="0"/>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 w15:restartNumberingAfterBreak="0">
    <w:nsid w:val="145536B5"/>
    <w:multiLevelType w:val="hybridMultilevel"/>
    <w:tmpl w:val="02E2FB34"/>
    <w:lvl w:ilvl="0" w:tplc="2E828656">
      <w:start w:val="1"/>
      <w:numFmt w:val="decimal"/>
      <w:lvlText w:val="%1.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4" w15:restartNumberingAfterBreak="0">
    <w:nsid w:val="16811248"/>
    <w:multiLevelType w:val="hybridMultilevel"/>
    <w:tmpl w:val="2E12EF88"/>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5" w15:restartNumberingAfterBreak="0">
    <w:nsid w:val="1DFA2B56"/>
    <w:multiLevelType w:val="hybridMultilevel"/>
    <w:tmpl w:val="60DAF598"/>
    <w:lvl w:ilvl="0" w:tplc="100A0001">
      <w:start w:val="1"/>
      <w:numFmt w:val="bullet"/>
      <w:lvlText w:val=""/>
      <w:lvlJc w:val="left"/>
      <w:pPr>
        <w:ind w:left="720" w:hanging="360"/>
      </w:pPr>
      <w:rPr>
        <w:rFonts w:ascii="Symbol" w:hAnsi="Symbol" w:hint="default"/>
      </w:rPr>
    </w:lvl>
    <w:lvl w:ilvl="1" w:tplc="100A0003">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6" w15:restartNumberingAfterBreak="0">
    <w:nsid w:val="1F151372"/>
    <w:multiLevelType w:val="multilevel"/>
    <w:tmpl w:val="8960C11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20E5232B"/>
    <w:multiLevelType w:val="hybridMultilevel"/>
    <w:tmpl w:val="E06C4B02"/>
    <w:lvl w:ilvl="0" w:tplc="47281706">
      <w:start w:val="1"/>
      <w:numFmt w:val="bullet"/>
      <w:lvlText w:val="•"/>
      <w:lvlJc w:val="left"/>
      <w:pPr>
        <w:tabs>
          <w:tab w:val="num" w:pos="720"/>
        </w:tabs>
        <w:ind w:left="720" w:hanging="360"/>
      </w:pPr>
      <w:rPr>
        <w:rFonts w:ascii="Arial" w:hAnsi="Arial" w:hint="default"/>
      </w:rPr>
    </w:lvl>
    <w:lvl w:ilvl="1" w:tplc="100A0017">
      <w:start w:val="1"/>
      <w:numFmt w:val="lowerLetter"/>
      <w:lvlText w:val="%2)"/>
      <w:lvlJc w:val="left"/>
      <w:pPr>
        <w:tabs>
          <w:tab w:val="num" w:pos="1440"/>
        </w:tabs>
        <w:ind w:left="1440" w:hanging="360"/>
      </w:pPr>
      <w:rPr>
        <w:rFonts w:hint="default"/>
      </w:rPr>
    </w:lvl>
    <w:lvl w:ilvl="2" w:tplc="1C30B89C" w:tentative="1">
      <w:start w:val="1"/>
      <w:numFmt w:val="bullet"/>
      <w:lvlText w:val="•"/>
      <w:lvlJc w:val="left"/>
      <w:pPr>
        <w:tabs>
          <w:tab w:val="num" w:pos="2160"/>
        </w:tabs>
        <w:ind w:left="2160" w:hanging="360"/>
      </w:pPr>
      <w:rPr>
        <w:rFonts w:ascii="Arial" w:hAnsi="Arial" w:hint="default"/>
      </w:rPr>
    </w:lvl>
    <w:lvl w:ilvl="3" w:tplc="BC8E2AC2" w:tentative="1">
      <w:start w:val="1"/>
      <w:numFmt w:val="bullet"/>
      <w:lvlText w:val="•"/>
      <w:lvlJc w:val="left"/>
      <w:pPr>
        <w:tabs>
          <w:tab w:val="num" w:pos="2880"/>
        </w:tabs>
        <w:ind w:left="2880" w:hanging="360"/>
      </w:pPr>
      <w:rPr>
        <w:rFonts w:ascii="Arial" w:hAnsi="Arial" w:hint="default"/>
      </w:rPr>
    </w:lvl>
    <w:lvl w:ilvl="4" w:tplc="A130603C" w:tentative="1">
      <w:start w:val="1"/>
      <w:numFmt w:val="bullet"/>
      <w:lvlText w:val="•"/>
      <w:lvlJc w:val="left"/>
      <w:pPr>
        <w:tabs>
          <w:tab w:val="num" w:pos="3600"/>
        </w:tabs>
        <w:ind w:left="3600" w:hanging="360"/>
      </w:pPr>
      <w:rPr>
        <w:rFonts w:ascii="Arial" w:hAnsi="Arial" w:hint="default"/>
      </w:rPr>
    </w:lvl>
    <w:lvl w:ilvl="5" w:tplc="347CF7B6" w:tentative="1">
      <w:start w:val="1"/>
      <w:numFmt w:val="bullet"/>
      <w:lvlText w:val="•"/>
      <w:lvlJc w:val="left"/>
      <w:pPr>
        <w:tabs>
          <w:tab w:val="num" w:pos="4320"/>
        </w:tabs>
        <w:ind w:left="4320" w:hanging="360"/>
      </w:pPr>
      <w:rPr>
        <w:rFonts w:ascii="Arial" w:hAnsi="Arial" w:hint="default"/>
      </w:rPr>
    </w:lvl>
    <w:lvl w:ilvl="6" w:tplc="9580CE46" w:tentative="1">
      <w:start w:val="1"/>
      <w:numFmt w:val="bullet"/>
      <w:lvlText w:val="•"/>
      <w:lvlJc w:val="left"/>
      <w:pPr>
        <w:tabs>
          <w:tab w:val="num" w:pos="5040"/>
        </w:tabs>
        <w:ind w:left="5040" w:hanging="360"/>
      </w:pPr>
      <w:rPr>
        <w:rFonts w:ascii="Arial" w:hAnsi="Arial" w:hint="default"/>
      </w:rPr>
    </w:lvl>
    <w:lvl w:ilvl="7" w:tplc="1304CE74" w:tentative="1">
      <w:start w:val="1"/>
      <w:numFmt w:val="bullet"/>
      <w:lvlText w:val="•"/>
      <w:lvlJc w:val="left"/>
      <w:pPr>
        <w:tabs>
          <w:tab w:val="num" w:pos="5760"/>
        </w:tabs>
        <w:ind w:left="5760" w:hanging="360"/>
      </w:pPr>
      <w:rPr>
        <w:rFonts w:ascii="Arial" w:hAnsi="Arial" w:hint="default"/>
      </w:rPr>
    </w:lvl>
    <w:lvl w:ilvl="8" w:tplc="EBA26016"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2303721B"/>
    <w:multiLevelType w:val="multilevel"/>
    <w:tmpl w:val="4322046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color w:val="auto"/>
        <w:sz w:val="24"/>
        <w:szCs w:val="24"/>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27605102"/>
    <w:multiLevelType w:val="hybridMultilevel"/>
    <w:tmpl w:val="FEA4A058"/>
    <w:lvl w:ilvl="0" w:tplc="100A0001">
      <w:start w:val="1"/>
      <w:numFmt w:val="bullet"/>
      <w:lvlText w:val=""/>
      <w:lvlJc w:val="left"/>
      <w:pPr>
        <w:ind w:left="1068" w:hanging="360"/>
      </w:pPr>
      <w:rPr>
        <w:rFonts w:ascii="Symbol" w:hAnsi="Symbol" w:hint="default"/>
      </w:rPr>
    </w:lvl>
    <w:lvl w:ilvl="1" w:tplc="100A0003" w:tentative="1">
      <w:start w:val="1"/>
      <w:numFmt w:val="bullet"/>
      <w:lvlText w:val="o"/>
      <w:lvlJc w:val="left"/>
      <w:pPr>
        <w:ind w:left="1788" w:hanging="360"/>
      </w:pPr>
      <w:rPr>
        <w:rFonts w:ascii="Courier New" w:hAnsi="Courier New" w:cs="Courier New" w:hint="default"/>
      </w:rPr>
    </w:lvl>
    <w:lvl w:ilvl="2" w:tplc="100A0005" w:tentative="1">
      <w:start w:val="1"/>
      <w:numFmt w:val="bullet"/>
      <w:lvlText w:val=""/>
      <w:lvlJc w:val="left"/>
      <w:pPr>
        <w:ind w:left="2508" w:hanging="360"/>
      </w:pPr>
      <w:rPr>
        <w:rFonts w:ascii="Wingdings" w:hAnsi="Wingdings" w:hint="default"/>
      </w:rPr>
    </w:lvl>
    <w:lvl w:ilvl="3" w:tplc="100A0001" w:tentative="1">
      <w:start w:val="1"/>
      <w:numFmt w:val="bullet"/>
      <w:lvlText w:val=""/>
      <w:lvlJc w:val="left"/>
      <w:pPr>
        <w:ind w:left="3228" w:hanging="360"/>
      </w:pPr>
      <w:rPr>
        <w:rFonts w:ascii="Symbol" w:hAnsi="Symbol" w:hint="default"/>
      </w:rPr>
    </w:lvl>
    <w:lvl w:ilvl="4" w:tplc="100A0003" w:tentative="1">
      <w:start w:val="1"/>
      <w:numFmt w:val="bullet"/>
      <w:lvlText w:val="o"/>
      <w:lvlJc w:val="left"/>
      <w:pPr>
        <w:ind w:left="3948" w:hanging="360"/>
      </w:pPr>
      <w:rPr>
        <w:rFonts w:ascii="Courier New" w:hAnsi="Courier New" w:cs="Courier New" w:hint="default"/>
      </w:rPr>
    </w:lvl>
    <w:lvl w:ilvl="5" w:tplc="100A0005" w:tentative="1">
      <w:start w:val="1"/>
      <w:numFmt w:val="bullet"/>
      <w:lvlText w:val=""/>
      <w:lvlJc w:val="left"/>
      <w:pPr>
        <w:ind w:left="4668" w:hanging="360"/>
      </w:pPr>
      <w:rPr>
        <w:rFonts w:ascii="Wingdings" w:hAnsi="Wingdings" w:hint="default"/>
      </w:rPr>
    </w:lvl>
    <w:lvl w:ilvl="6" w:tplc="100A0001" w:tentative="1">
      <w:start w:val="1"/>
      <w:numFmt w:val="bullet"/>
      <w:lvlText w:val=""/>
      <w:lvlJc w:val="left"/>
      <w:pPr>
        <w:ind w:left="5388" w:hanging="360"/>
      </w:pPr>
      <w:rPr>
        <w:rFonts w:ascii="Symbol" w:hAnsi="Symbol" w:hint="default"/>
      </w:rPr>
    </w:lvl>
    <w:lvl w:ilvl="7" w:tplc="100A0003" w:tentative="1">
      <w:start w:val="1"/>
      <w:numFmt w:val="bullet"/>
      <w:lvlText w:val="o"/>
      <w:lvlJc w:val="left"/>
      <w:pPr>
        <w:ind w:left="6108" w:hanging="360"/>
      </w:pPr>
      <w:rPr>
        <w:rFonts w:ascii="Courier New" w:hAnsi="Courier New" w:cs="Courier New" w:hint="default"/>
      </w:rPr>
    </w:lvl>
    <w:lvl w:ilvl="8" w:tplc="100A0005" w:tentative="1">
      <w:start w:val="1"/>
      <w:numFmt w:val="bullet"/>
      <w:lvlText w:val=""/>
      <w:lvlJc w:val="left"/>
      <w:pPr>
        <w:ind w:left="6828" w:hanging="360"/>
      </w:pPr>
      <w:rPr>
        <w:rFonts w:ascii="Wingdings" w:hAnsi="Wingdings" w:hint="default"/>
      </w:rPr>
    </w:lvl>
  </w:abstractNum>
  <w:abstractNum w:abstractNumId="10" w15:restartNumberingAfterBreak="0">
    <w:nsid w:val="2B756652"/>
    <w:multiLevelType w:val="hybridMultilevel"/>
    <w:tmpl w:val="4C3CF3C6"/>
    <w:lvl w:ilvl="0" w:tplc="100A0017">
      <w:start w:val="1"/>
      <w:numFmt w:val="lowerLetter"/>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1" w15:restartNumberingAfterBreak="0">
    <w:nsid w:val="2CEE5E3C"/>
    <w:multiLevelType w:val="multilevel"/>
    <w:tmpl w:val="10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2D3D32D9"/>
    <w:multiLevelType w:val="hybridMultilevel"/>
    <w:tmpl w:val="D6B8F3D8"/>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3" w15:restartNumberingAfterBreak="0">
    <w:nsid w:val="2D5A09C0"/>
    <w:multiLevelType w:val="hybridMultilevel"/>
    <w:tmpl w:val="92F073AA"/>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4" w15:restartNumberingAfterBreak="0">
    <w:nsid w:val="2F3A7D94"/>
    <w:multiLevelType w:val="hybridMultilevel"/>
    <w:tmpl w:val="D4A44934"/>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5" w15:restartNumberingAfterBreak="0">
    <w:nsid w:val="31A24AD2"/>
    <w:multiLevelType w:val="multilevel"/>
    <w:tmpl w:val="0C0A0025"/>
    <w:lvl w:ilvl="0">
      <w:start w:val="1"/>
      <w:numFmt w:val="decimal"/>
      <w:pStyle w:val="Ttulo11"/>
      <w:lvlText w:val="%1"/>
      <w:lvlJc w:val="left"/>
      <w:pPr>
        <w:ind w:left="432" w:hanging="432"/>
      </w:pPr>
    </w:lvl>
    <w:lvl w:ilvl="1">
      <w:start w:val="1"/>
      <w:numFmt w:val="decimal"/>
      <w:pStyle w:val="Ttulo21"/>
      <w:lvlText w:val="%1.%2"/>
      <w:lvlJc w:val="left"/>
      <w:pPr>
        <w:ind w:left="576" w:hanging="576"/>
      </w:pPr>
    </w:lvl>
    <w:lvl w:ilvl="2">
      <w:start w:val="1"/>
      <w:numFmt w:val="decimal"/>
      <w:pStyle w:val="Ttulo31"/>
      <w:lvlText w:val="%1.%2.%3"/>
      <w:lvlJc w:val="left"/>
      <w:pPr>
        <w:ind w:left="720" w:hanging="720"/>
      </w:pPr>
    </w:lvl>
    <w:lvl w:ilvl="3">
      <w:start w:val="1"/>
      <w:numFmt w:val="decimal"/>
      <w:pStyle w:val="Ttulo41"/>
      <w:lvlText w:val="%1.%2.%3.%4"/>
      <w:lvlJc w:val="left"/>
      <w:pPr>
        <w:ind w:left="864" w:hanging="864"/>
      </w:pPr>
    </w:lvl>
    <w:lvl w:ilvl="4">
      <w:start w:val="1"/>
      <w:numFmt w:val="decimal"/>
      <w:pStyle w:val="Ttulo51"/>
      <w:lvlText w:val="%1.%2.%3.%4.%5"/>
      <w:lvlJc w:val="left"/>
      <w:pPr>
        <w:ind w:left="1008" w:hanging="1008"/>
      </w:pPr>
    </w:lvl>
    <w:lvl w:ilvl="5">
      <w:start w:val="1"/>
      <w:numFmt w:val="decimal"/>
      <w:pStyle w:val="Ttulo61"/>
      <w:lvlText w:val="%1.%2.%3.%4.%5.%6"/>
      <w:lvlJc w:val="left"/>
      <w:pPr>
        <w:ind w:left="1152" w:hanging="1152"/>
      </w:pPr>
    </w:lvl>
    <w:lvl w:ilvl="6">
      <w:start w:val="1"/>
      <w:numFmt w:val="decimal"/>
      <w:pStyle w:val="Ttulo71"/>
      <w:lvlText w:val="%1.%2.%3.%4.%5.%6.%7"/>
      <w:lvlJc w:val="left"/>
      <w:pPr>
        <w:ind w:left="1296" w:hanging="1296"/>
      </w:pPr>
    </w:lvl>
    <w:lvl w:ilvl="7">
      <w:start w:val="1"/>
      <w:numFmt w:val="decimal"/>
      <w:pStyle w:val="Ttulo81"/>
      <w:lvlText w:val="%1.%2.%3.%4.%5.%6.%7.%8"/>
      <w:lvlJc w:val="left"/>
      <w:pPr>
        <w:ind w:left="1440" w:hanging="1440"/>
      </w:pPr>
    </w:lvl>
    <w:lvl w:ilvl="8">
      <w:start w:val="1"/>
      <w:numFmt w:val="decimal"/>
      <w:pStyle w:val="Ttulo91"/>
      <w:lvlText w:val="%1.%2.%3.%4.%5.%6.%7.%8.%9"/>
      <w:lvlJc w:val="left"/>
      <w:pPr>
        <w:ind w:left="1584" w:hanging="1584"/>
      </w:pPr>
    </w:lvl>
  </w:abstractNum>
  <w:abstractNum w:abstractNumId="16" w15:restartNumberingAfterBreak="0">
    <w:nsid w:val="38E61988"/>
    <w:multiLevelType w:val="hybridMultilevel"/>
    <w:tmpl w:val="7D04A81C"/>
    <w:lvl w:ilvl="0" w:tplc="A1F83D42">
      <w:start w:val="1"/>
      <w:numFmt w:val="lowerLetter"/>
      <w:lvlText w:val="%1)"/>
      <w:lvlJc w:val="left"/>
      <w:pPr>
        <w:ind w:left="1080" w:hanging="360"/>
      </w:pPr>
      <w:rPr>
        <w:rFonts w:hint="default"/>
      </w:rPr>
    </w:lvl>
    <w:lvl w:ilvl="1" w:tplc="100A0019" w:tentative="1">
      <w:start w:val="1"/>
      <w:numFmt w:val="lowerLetter"/>
      <w:lvlText w:val="%2."/>
      <w:lvlJc w:val="left"/>
      <w:pPr>
        <w:ind w:left="1800" w:hanging="360"/>
      </w:pPr>
    </w:lvl>
    <w:lvl w:ilvl="2" w:tplc="100A001B" w:tentative="1">
      <w:start w:val="1"/>
      <w:numFmt w:val="lowerRoman"/>
      <w:lvlText w:val="%3."/>
      <w:lvlJc w:val="right"/>
      <w:pPr>
        <w:ind w:left="2520" w:hanging="180"/>
      </w:pPr>
    </w:lvl>
    <w:lvl w:ilvl="3" w:tplc="100A000F" w:tentative="1">
      <w:start w:val="1"/>
      <w:numFmt w:val="decimal"/>
      <w:lvlText w:val="%4."/>
      <w:lvlJc w:val="left"/>
      <w:pPr>
        <w:ind w:left="3240" w:hanging="360"/>
      </w:pPr>
    </w:lvl>
    <w:lvl w:ilvl="4" w:tplc="100A0019" w:tentative="1">
      <w:start w:val="1"/>
      <w:numFmt w:val="lowerLetter"/>
      <w:lvlText w:val="%5."/>
      <w:lvlJc w:val="left"/>
      <w:pPr>
        <w:ind w:left="3960" w:hanging="360"/>
      </w:pPr>
    </w:lvl>
    <w:lvl w:ilvl="5" w:tplc="100A001B" w:tentative="1">
      <w:start w:val="1"/>
      <w:numFmt w:val="lowerRoman"/>
      <w:lvlText w:val="%6."/>
      <w:lvlJc w:val="right"/>
      <w:pPr>
        <w:ind w:left="4680" w:hanging="180"/>
      </w:pPr>
    </w:lvl>
    <w:lvl w:ilvl="6" w:tplc="100A000F" w:tentative="1">
      <w:start w:val="1"/>
      <w:numFmt w:val="decimal"/>
      <w:lvlText w:val="%7."/>
      <w:lvlJc w:val="left"/>
      <w:pPr>
        <w:ind w:left="5400" w:hanging="360"/>
      </w:pPr>
    </w:lvl>
    <w:lvl w:ilvl="7" w:tplc="100A0019" w:tentative="1">
      <w:start w:val="1"/>
      <w:numFmt w:val="lowerLetter"/>
      <w:lvlText w:val="%8."/>
      <w:lvlJc w:val="left"/>
      <w:pPr>
        <w:ind w:left="6120" w:hanging="360"/>
      </w:pPr>
    </w:lvl>
    <w:lvl w:ilvl="8" w:tplc="100A001B" w:tentative="1">
      <w:start w:val="1"/>
      <w:numFmt w:val="lowerRoman"/>
      <w:lvlText w:val="%9."/>
      <w:lvlJc w:val="right"/>
      <w:pPr>
        <w:ind w:left="6840" w:hanging="180"/>
      </w:pPr>
    </w:lvl>
  </w:abstractNum>
  <w:abstractNum w:abstractNumId="17" w15:restartNumberingAfterBreak="0">
    <w:nsid w:val="39344CF8"/>
    <w:multiLevelType w:val="hybridMultilevel"/>
    <w:tmpl w:val="39F4D9A0"/>
    <w:lvl w:ilvl="0" w:tplc="100A0017">
      <w:start w:val="1"/>
      <w:numFmt w:val="lowerLetter"/>
      <w:lvlText w:val="%1)"/>
      <w:lvlJc w:val="left"/>
      <w:pPr>
        <w:tabs>
          <w:tab w:val="num" w:pos="1428"/>
        </w:tabs>
        <w:ind w:left="1428" w:hanging="360"/>
      </w:pPr>
      <w:rPr>
        <w:rFonts w:hint="default"/>
      </w:rPr>
    </w:lvl>
    <w:lvl w:ilvl="1" w:tplc="88A822C4" w:tentative="1">
      <w:start w:val="1"/>
      <w:numFmt w:val="bullet"/>
      <w:lvlText w:val="•"/>
      <w:lvlJc w:val="left"/>
      <w:pPr>
        <w:tabs>
          <w:tab w:val="num" w:pos="2148"/>
        </w:tabs>
        <w:ind w:left="2148" w:hanging="360"/>
      </w:pPr>
      <w:rPr>
        <w:rFonts w:ascii="Arial" w:hAnsi="Arial" w:hint="default"/>
      </w:rPr>
    </w:lvl>
    <w:lvl w:ilvl="2" w:tplc="0A663566" w:tentative="1">
      <w:start w:val="1"/>
      <w:numFmt w:val="bullet"/>
      <w:lvlText w:val="•"/>
      <w:lvlJc w:val="left"/>
      <w:pPr>
        <w:tabs>
          <w:tab w:val="num" w:pos="2868"/>
        </w:tabs>
        <w:ind w:left="2868" w:hanging="360"/>
      </w:pPr>
      <w:rPr>
        <w:rFonts w:ascii="Arial" w:hAnsi="Arial" w:hint="default"/>
      </w:rPr>
    </w:lvl>
    <w:lvl w:ilvl="3" w:tplc="FC0AC50E" w:tentative="1">
      <w:start w:val="1"/>
      <w:numFmt w:val="bullet"/>
      <w:lvlText w:val="•"/>
      <w:lvlJc w:val="left"/>
      <w:pPr>
        <w:tabs>
          <w:tab w:val="num" w:pos="3588"/>
        </w:tabs>
        <w:ind w:left="3588" w:hanging="360"/>
      </w:pPr>
      <w:rPr>
        <w:rFonts w:ascii="Arial" w:hAnsi="Arial" w:hint="default"/>
      </w:rPr>
    </w:lvl>
    <w:lvl w:ilvl="4" w:tplc="2F2C20D6" w:tentative="1">
      <w:start w:val="1"/>
      <w:numFmt w:val="bullet"/>
      <w:lvlText w:val="•"/>
      <w:lvlJc w:val="left"/>
      <w:pPr>
        <w:tabs>
          <w:tab w:val="num" w:pos="4308"/>
        </w:tabs>
        <w:ind w:left="4308" w:hanging="360"/>
      </w:pPr>
      <w:rPr>
        <w:rFonts w:ascii="Arial" w:hAnsi="Arial" w:hint="default"/>
      </w:rPr>
    </w:lvl>
    <w:lvl w:ilvl="5" w:tplc="3D765614" w:tentative="1">
      <w:start w:val="1"/>
      <w:numFmt w:val="bullet"/>
      <w:lvlText w:val="•"/>
      <w:lvlJc w:val="left"/>
      <w:pPr>
        <w:tabs>
          <w:tab w:val="num" w:pos="5028"/>
        </w:tabs>
        <w:ind w:left="5028" w:hanging="360"/>
      </w:pPr>
      <w:rPr>
        <w:rFonts w:ascii="Arial" w:hAnsi="Arial" w:hint="default"/>
      </w:rPr>
    </w:lvl>
    <w:lvl w:ilvl="6" w:tplc="D7B4C0EE" w:tentative="1">
      <w:start w:val="1"/>
      <w:numFmt w:val="bullet"/>
      <w:lvlText w:val="•"/>
      <w:lvlJc w:val="left"/>
      <w:pPr>
        <w:tabs>
          <w:tab w:val="num" w:pos="5748"/>
        </w:tabs>
        <w:ind w:left="5748" w:hanging="360"/>
      </w:pPr>
      <w:rPr>
        <w:rFonts w:ascii="Arial" w:hAnsi="Arial" w:hint="default"/>
      </w:rPr>
    </w:lvl>
    <w:lvl w:ilvl="7" w:tplc="FFBC65E4" w:tentative="1">
      <w:start w:val="1"/>
      <w:numFmt w:val="bullet"/>
      <w:lvlText w:val="•"/>
      <w:lvlJc w:val="left"/>
      <w:pPr>
        <w:tabs>
          <w:tab w:val="num" w:pos="6468"/>
        </w:tabs>
        <w:ind w:left="6468" w:hanging="360"/>
      </w:pPr>
      <w:rPr>
        <w:rFonts w:ascii="Arial" w:hAnsi="Arial" w:hint="default"/>
      </w:rPr>
    </w:lvl>
    <w:lvl w:ilvl="8" w:tplc="7AD008E2" w:tentative="1">
      <w:start w:val="1"/>
      <w:numFmt w:val="bullet"/>
      <w:lvlText w:val="•"/>
      <w:lvlJc w:val="left"/>
      <w:pPr>
        <w:tabs>
          <w:tab w:val="num" w:pos="7188"/>
        </w:tabs>
        <w:ind w:left="7188" w:hanging="360"/>
      </w:pPr>
      <w:rPr>
        <w:rFonts w:ascii="Arial" w:hAnsi="Arial" w:hint="default"/>
      </w:rPr>
    </w:lvl>
  </w:abstractNum>
  <w:abstractNum w:abstractNumId="18" w15:restartNumberingAfterBreak="0">
    <w:nsid w:val="3F4E4675"/>
    <w:multiLevelType w:val="hybridMultilevel"/>
    <w:tmpl w:val="592A14C8"/>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9" w15:restartNumberingAfterBreak="0">
    <w:nsid w:val="41F878AD"/>
    <w:multiLevelType w:val="multilevel"/>
    <w:tmpl w:val="6BE6BB4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color w:val="auto"/>
        <w:sz w:val="22"/>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423772FF"/>
    <w:multiLevelType w:val="multilevel"/>
    <w:tmpl w:val="8960C11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47455B36"/>
    <w:multiLevelType w:val="hybridMultilevel"/>
    <w:tmpl w:val="2F9A9654"/>
    <w:lvl w:ilvl="0" w:tplc="DB6E8538">
      <w:start w:val="1"/>
      <w:numFmt w:val="lowerRoman"/>
      <w:lvlText w:val="%1)"/>
      <w:lvlJc w:val="left"/>
      <w:pPr>
        <w:ind w:left="1080" w:hanging="72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2" w15:restartNumberingAfterBreak="0">
    <w:nsid w:val="50587C29"/>
    <w:multiLevelType w:val="hybridMultilevel"/>
    <w:tmpl w:val="21D2FB3A"/>
    <w:lvl w:ilvl="0" w:tplc="100A0017">
      <w:start w:val="1"/>
      <w:numFmt w:val="lowerLetter"/>
      <w:lvlText w:val="%1)"/>
      <w:lvlJc w:val="left"/>
      <w:pPr>
        <w:ind w:left="1776" w:hanging="360"/>
      </w:pPr>
    </w:lvl>
    <w:lvl w:ilvl="1" w:tplc="100A0019" w:tentative="1">
      <w:start w:val="1"/>
      <w:numFmt w:val="lowerLetter"/>
      <w:lvlText w:val="%2."/>
      <w:lvlJc w:val="left"/>
      <w:pPr>
        <w:ind w:left="2496" w:hanging="360"/>
      </w:pPr>
    </w:lvl>
    <w:lvl w:ilvl="2" w:tplc="100A001B" w:tentative="1">
      <w:start w:val="1"/>
      <w:numFmt w:val="lowerRoman"/>
      <w:lvlText w:val="%3."/>
      <w:lvlJc w:val="right"/>
      <w:pPr>
        <w:ind w:left="3216" w:hanging="180"/>
      </w:pPr>
    </w:lvl>
    <w:lvl w:ilvl="3" w:tplc="100A000F" w:tentative="1">
      <w:start w:val="1"/>
      <w:numFmt w:val="decimal"/>
      <w:lvlText w:val="%4."/>
      <w:lvlJc w:val="left"/>
      <w:pPr>
        <w:ind w:left="3936" w:hanging="360"/>
      </w:pPr>
    </w:lvl>
    <w:lvl w:ilvl="4" w:tplc="100A0019" w:tentative="1">
      <w:start w:val="1"/>
      <w:numFmt w:val="lowerLetter"/>
      <w:lvlText w:val="%5."/>
      <w:lvlJc w:val="left"/>
      <w:pPr>
        <w:ind w:left="4656" w:hanging="360"/>
      </w:pPr>
    </w:lvl>
    <w:lvl w:ilvl="5" w:tplc="100A001B" w:tentative="1">
      <w:start w:val="1"/>
      <w:numFmt w:val="lowerRoman"/>
      <w:lvlText w:val="%6."/>
      <w:lvlJc w:val="right"/>
      <w:pPr>
        <w:ind w:left="5376" w:hanging="180"/>
      </w:pPr>
    </w:lvl>
    <w:lvl w:ilvl="6" w:tplc="100A000F" w:tentative="1">
      <w:start w:val="1"/>
      <w:numFmt w:val="decimal"/>
      <w:lvlText w:val="%7."/>
      <w:lvlJc w:val="left"/>
      <w:pPr>
        <w:ind w:left="6096" w:hanging="360"/>
      </w:pPr>
    </w:lvl>
    <w:lvl w:ilvl="7" w:tplc="100A0019" w:tentative="1">
      <w:start w:val="1"/>
      <w:numFmt w:val="lowerLetter"/>
      <w:lvlText w:val="%8."/>
      <w:lvlJc w:val="left"/>
      <w:pPr>
        <w:ind w:left="6816" w:hanging="360"/>
      </w:pPr>
    </w:lvl>
    <w:lvl w:ilvl="8" w:tplc="100A001B" w:tentative="1">
      <w:start w:val="1"/>
      <w:numFmt w:val="lowerRoman"/>
      <w:lvlText w:val="%9."/>
      <w:lvlJc w:val="right"/>
      <w:pPr>
        <w:ind w:left="7536" w:hanging="180"/>
      </w:pPr>
    </w:lvl>
  </w:abstractNum>
  <w:abstractNum w:abstractNumId="23" w15:restartNumberingAfterBreak="0">
    <w:nsid w:val="523C077D"/>
    <w:multiLevelType w:val="multilevel"/>
    <w:tmpl w:val="4322046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color w:val="auto"/>
        <w:sz w:val="24"/>
        <w:szCs w:val="24"/>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55777B9E"/>
    <w:multiLevelType w:val="hybridMultilevel"/>
    <w:tmpl w:val="3F004706"/>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5" w15:restartNumberingAfterBreak="0">
    <w:nsid w:val="582A1421"/>
    <w:multiLevelType w:val="multilevel"/>
    <w:tmpl w:val="B63CCFBE"/>
    <w:lvl w:ilvl="0">
      <w:start w:val="1"/>
      <w:numFmt w:val="decimal"/>
      <w:lvlText w:val="%1"/>
      <w:lvlJc w:val="left"/>
      <w:pPr>
        <w:ind w:left="360" w:hanging="360"/>
      </w:pPr>
      <w:rPr>
        <w:rFonts w:hint="default"/>
      </w:rPr>
    </w:lvl>
    <w:lvl w:ilvl="1">
      <w:start w:val="1"/>
      <w:numFmt w:val="decimal"/>
      <w:lvlText w:val="4.%2"/>
      <w:lvlJc w:val="left"/>
      <w:pPr>
        <w:ind w:left="360" w:hanging="360"/>
      </w:pPr>
      <w:rPr>
        <w:rFonts w:hint="default"/>
        <w:b/>
        <w:color w:val="auto"/>
        <w:sz w:val="24"/>
        <w:szCs w:val="24"/>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58741E90"/>
    <w:multiLevelType w:val="multilevel"/>
    <w:tmpl w:val="58DEA22A"/>
    <w:lvl w:ilvl="0">
      <w:start w:val="1"/>
      <w:numFmt w:val="upperRoman"/>
      <w:lvlText w:val="%1."/>
      <w:lvlJc w:val="left"/>
      <w:pPr>
        <w:ind w:left="720" w:hanging="720"/>
      </w:pPr>
      <w:rPr>
        <w:rFonts w:hint="default"/>
      </w:rPr>
    </w:lvl>
    <w:lvl w:ilvl="1">
      <w:start w:val="3"/>
      <w:numFmt w:val="decimal"/>
      <w:isLgl/>
      <w:lvlText w:val="%1.%2"/>
      <w:lvlJc w:val="left"/>
      <w:pPr>
        <w:ind w:left="660" w:hanging="660"/>
      </w:pPr>
      <w:rPr>
        <w:rFonts w:hint="default"/>
      </w:rPr>
    </w:lvl>
    <w:lvl w:ilvl="2">
      <w:start w:val="3"/>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7" w15:restartNumberingAfterBreak="0">
    <w:nsid w:val="58B02801"/>
    <w:multiLevelType w:val="hybridMultilevel"/>
    <w:tmpl w:val="CDF23244"/>
    <w:lvl w:ilvl="0" w:tplc="100A0017">
      <w:start w:val="1"/>
      <w:numFmt w:val="lowerLetter"/>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8" w15:restartNumberingAfterBreak="0">
    <w:nsid w:val="59DE5F78"/>
    <w:multiLevelType w:val="multilevel"/>
    <w:tmpl w:val="B63CCFBE"/>
    <w:lvl w:ilvl="0">
      <w:start w:val="1"/>
      <w:numFmt w:val="decimal"/>
      <w:lvlText w:val="%1"/>
      <w:lvlJc w:val="left"/>
      <w:pPr>
        <w:ind w:left="360" w:hanging="360"/>
      </w:pPr>
      <w:rPr>
        <w:rFonts w:hint="default"/>
      </w:rPr>
    </w:lvl>
    <w:lvl w:ilvl="1">
      <w:start w:val="1"/>
      <w:numFmt w:val="decimal"/>
      <w:lvlText w:val="4.%2"/>
      <w:lvlJc w:val="left"/>
      <w:pPr>
        <w:ind w:left="360" w:hanging="360"/>
      </w:pPr>
      <w:rPr>
        <w:rFonts w:hint="default"/>
        <w:b/>
        <w:color w:val="auto"/>
        <w:sz w:val="24"/>
        <w:szCs w:val="24"/>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5C403D22"/>
    <w:multiLevelType w:val="multilevel"/>
    <w:tmpl w:val="10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15:restartNumberingAfterBreak="0">
    <w:nsid w:val="5CE5754F"/>
    <w:multiLevelType w:val="hybridMultilevel"/>
    <w:tmpl w:val="66D0A530"/>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31" w15:restartNumberingAfterBreak="0">
    <w:nsid w:val="5D1A7293"/>
    <w:multiLevelType w:val="hybridMultilevel"/>
    <w:tmpl w:val="574693B0"/>
    <w:lvl w:ilvl="0" w:tplc="100A0001">
      <w:start w:val="1"/>
      <w:numFmt w:val="bullet"/>
      <w:lvlText w:val=""/>
      <w:lvlJc w:val="left"/>
      <w:pPr>
        <w:ind w:left="720" w:hanging="360"/>
      </w:pPr>
      <w:rPr>
        <w:rFonts w:ascii="Symbol" w:hAnsi="Symbol" w:hint="default"/>
      </w:rPr>
    </w:lvl>
    <w:lvl w:ilvl="1" w:tplc="100A0003">
      <w:start w:val="1"/>
      <w:numFmt w:val="bullet"/>
      <w:lvlText w:val="o"/>
      <w:lvlJc w:val="left"/>
      <w:pPr>
        <w:ind w:left="1440" w:hanging="360"/>
      </w:pPr>
      <w:rPr>
        <w:rFonts w:ascii="Courier New" w:hAnsi="Courier New" w:cs="Courier New" w:hint="default"/>
      </w:rPr>
    </w:lvl>
    <w:lvl w:ilvl="2" w:tplc="100A0005">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32" w15:restartNumberingAfterBreak="0">
    <w:nsid w:val="5E9B22BF"/>
    <w:multiLevelType w:val="hybridMultilevel"/>
    <w:tmpl w:val="7D0EE6BA"/>
    <w:lvl w:ilvl="0" w:tplc="FD3A4A76">
      <w:start w:val="1"/>
      <w:numFmt w:val="lowerLetter"/>
      <w:lvlText w:val="%1."/>
      <w:lvlJc w:val="left"/>
      <w:pPr>
        <w:ind w:left="720" w:hanging="360"/>
      </w:pPr>
      <w:rPr>
        <w:sz w:val="24"/>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3" w15:restartNumberingAfterBreak="0">
    <w:nsid w:val="5E9E267F"/>
    <w:multiLevelType w:val="hybridMultilevel"/>
    <w:tmpl w:val="B18CB370"/>
    <w:lvl w:ilvl="0" w:tplc="100A000F">
      <w:start w:val="1"/>
      <w:numFmt w:val="decimal"/>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34" w15:restartNumberingAfterBreak="0">
    <w:nsid w:val="627D15BE"/>
    <w:multiLevelType w:val="multilevel"/>
    <w:tmpl w:val="E6A2508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color w:val="auto"/>
        <w:sz w:val="22"/>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629C3A2A"/>
    <w:multiLevelType w:val="hybridMultilevel"/>
    <w:tmpl w:val="36860404"/>
    <w:lvl w:ilvl="0" w:tplc="46F0C8B4">
      <w:start w:val="1"/>
      <w:numFmt w:val="bullet"/>
      <w:lvlText w:val="•"/>
      <w:lvlJc w:val="left"/>
      <w:pPr>
        <w:tabs>
          <w:tab w:val="num" w:pos="720"/>
        </w:tabs>
        <w:ind w:left="720" w:hanging="360"/>
      </w:pPr>
      <w:rPr>
        <w:rFonts w:ascii="Arial" w:hAnsi="Arial" w:hint="default"/>
      </w:rPr>
    </w:lvl>
    <w:lvl w:ilvl="1" w:tplc="3640B6EE">
      <w:start w:val="82"/>
      <w:numFmt w:val="bullet"/>
      <w:lvlText w:val=""/>
      <w:lvlJc w:val="left"/>
      <w:pPr>
        <w:tabs>
          <w:tab w:val="num" w:pos="1440"/>
        </w:tabs>
        <w:ind w:left="1440" w:hanging="360"/>
      </w:pPr>
      <w:rPr>
        <w:rFonts w:ascii="Wingdings" w:hAnsi="Wingdings" w:hint="default"/>
      </w:rPr>
    </w:lvl>
    <w:lvl w:ilvl="2" w:tplc="803E46F8">
      <w:start w:val="82"/>
      <w:numFmt w:val="bullet"/>
      <w:lvlText w:val=""/>
      <w:lvlJc w:val="left"/>
      <w:pPr>
        <w:tabs>
          <w:tab w:val="num" w:pos="2160"/>
        </w:tabs>
        <w:ind w:left="2160" w:hanging="360"/>
      </w:pPr>
      <w:rPr>
        <w:rFonts w:ascii="Wingdings" w:hAnsi="Wingdings" w:hint="default"/>
      </w:rPr>
    </w:lvl>
    <w:lvl w:ilvl="3" w:tplc="E9BEBE16" w:tentative="1">
      <w:start w:val="1"/>
      <w:numFmt w:val="bullet"/>
      <w:lvlText w:val="•"/>
      <w:lvlJc w:val="left"/>
      <w:pPr>
        <w:tabs>
          <w:tab w:val="num" w:pos="2880"/>
        </w:tabs>
        <w:ind w:left="2880" w:hanging="360"/>
      </w:pPr>
      <w:rPr>
        <w:rFonts w:ascii="Arial" w:hAnsi="Arial" w:hint="default"/>
      </w:rPr>
    </w:lvl>
    <w:lvl w:ilvl="4" w:tplc="E7928B86" w:tentative="1">
      <w:start w:val="1"/>
      <w:numFmt w:val="bullet"/>
      <w:lvlText w:val="•"/>
      <w:lvlJc w:val="left"/>
      <w:pPr>
        <w:tabs>
          <w:tab w:val="num" w:pos="3600"/>
        </w:tabs>
        <w:ind w:left="3600" w:hanging="360"/>
      </w:pPr>
      <w:rPr>
        <w:rFonts w:ascii="Arial" w:hAnsi="Arial" w:hint="default"/>
      </w:rPr>
    </w:lvl>
    <w:lvl w:ilvl="5" w:tplc="FA6205C2" w:tentative="1">
      <w:start w:val="1"/>
      <w:numFmt w:val="bullet"/>
      <w:lvlText w:val="•"/>
      <w:lvlJc w:val="left"/>
      <w:pPr>
        <w:tabs>
          <w:tab w:val="num" w:pos="4320"/>
        </w:tabs>
        <w:ind w:left="4320" w:hanging="360"/>
      </w:pPr>
      <w:rPr>
        <w:rFonts w:ascii="Arial" w:hAnsi="Arial" w:hint="default"/>
      </w:rPr>
    </w:lvl>
    <w:lvl w:ilvl="6" w:tplc="3B56D9A4" w:tentative="1">
      <w:start w:val="1"/>
      <w:numFmt w:val="bullet"/>
      <w:lvlText w:val="•"/>
      <w:lvlJc w:val="left"/>
      <w:pPr>
        <w:tabs>
          <w:tab w:val="num" w:pos="5040"/>
        </w:tabs>
        <w:ind w:left="5040" w:hanging="360"/>
      </w:pPr>
      <w:rPr>
        <w:rFonts w:ascii="Arial" w:hAnsi="Arial" w:hint="default"/>
      </w:rPr>
    </w:lvl>
    <w:lvl w:ilvl="7" w:tplc="FF32ECCC" w:tentative="1">
      <w:start w:val="1"/>
      <w:numFmt w:val="bullet"/>
      <w:lvlText w:val="•"/>
      <w:lvlJc w:val="left"/>
      <w:pPr>
        <w:tabs>
          <w:tab w:val="num" w:pos="5760"/>
        </w:tabs>
        <w:ind w:left="5760" w:hanging="360"/>
      </w:pPr>
      <w:rPr>
        <w:rFonts w:ascii="Arial" w:hAnsi="Arial" w:hint="default"/>
      </w:rPr>
    </w:lvl>
    <w:lvl w:ilvl="8" w:tplc="DE920C2A" w:tentative="1">
      <w:start w:val="1"/>
      <w:numFmt w:val="bullet"/>
      <w:lvlText w:val="•"/>
      <w:lvlJc w:val="left"/>
      <w:pPr>
        <w:tabs>
          <w:tab w:val="num" w:pos="6480"/>
        </w:tabs>
        <w:ind w:left="6480" w:hanging="360"/>
      </w:pPr>
      <w:rPr>
        <w:rFonts w:ascii="Arial" w:hAnsi="Arial" w:hint="default"/>
      </w:rPr>
    </w:lvl>
  </w:abstractNum>
  <w:abstractNum w:abstractNumId="36" w15:restartNumberingAfterBreak="0">
    <w:nsid w:val="6C3E5119"/>
    <w:multiLevelType w:val="hybridMultilevel"/>
    <w:tmpl w:val="D05E2C2C"/>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37" w15:restartNumberingAfterBreak="0">
    <w:nsid w:val="70CB5DA4"/>
    <w:multiLevelType w:val="hybridMultilevel"/>
    <w:tmpl w:val="E174D1C4"/>
    <w:lvl w:ilvl="0" w:tplc="80D2798C">
      <w:start w:val="1"/>
      <w:numFmt w:val="decimal"/>
      <w:lvlText w:val="%1."/>
      <w:lvlJc w:val="left"/>
      <w:pPr>
        <w:ind w:left="720" w:hanging="360"/>
      </w:pPr>
      <w:rPr>
        <w:b/>
      </w:rPr>
    </w:lvl>
    <w:lvl w:ilvl="1" w:tplc="100A0017">
      <w:start w:val="1"/>
      <w:numFmt w:val="lowerLetter"/>
      <w:lvlText w:val="%2)"/>
      <w:lvlJc w:val="left"/>
      <w:pPr>
        <w:ind w:left="1440" w:hanging="360"/>
      </w:pPr>
    </w:lvl>
    <w:lvl w:ilvl="2" w:tplc="100A001B">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8" w15:restartNumberingAfterBreak="0">
    <w:nsid w:val="7336333D"/>
    <w:multiLevelType w:val="hybridMultilevel"/>
    <w:tmpl w:val="C3B0B7DE"/>
    <w:lvl w:ilvl="0" w:tplc="100A000F">
      <w:start w:val="1"/>
      <w:numFmt w:val="decimal"/>
      <w:lvlText w:val="%1."/>
      <w:lvlJc w:val="left"/>
      <w:pPr>
        <w:ind w:left="360" w:hanging="360"/>
      </w:pPr>
      <w:rPr>
        <w:rFonts w:hint="default"/>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39" w15:restartNumberingAfterBreak="0">
    <w:nsid w:val="73985C45"/>
    <w:multiLevelType w:val="hybridMultilevel"/>
    <w:tmpl w:val="0C14AC04"/>
    <w:lvl w:ilvl="0" w:tplc="100A0017">
      <w:start w:val="1"/>
      <w:numFmt w:val="lowerLetter"/>
      <w:lvlText w:val="%1)"/>
      <w:lvlJc w:val="left"/>
      <w:pPr>
        <w:ind w:left="1068" w:hanging="360"/>
      </w:pPr>
    </w:lvl>
    <w:lvl w:ilvl="1" w:tplc="100A0019" w:tentative="1">
      <w:start w:val="1"/>
      <w:numFmt w:val="lowerLetter"/>
      <w:lvlText w:val="%2."/>
      <w:lvlJc w:val="left"/>
      <w:pPr>
        <w:ind w:left="1788" w:hanging="360"/>
      </w:pPr>
    </w:lvl>
    <w:lvl w:ilvl="2" w:tplc="100A001B" w:tentative="1">
      <w:start w:val="1"/>
      <w:numFmt w:val="lowerRoman"/>
      <w:lvlText w:val="%3."/>
      <w:lvlJc w:val="right"/>
      <w:pPr>
        <w:ind w:left="2508" w:hanging="180"/>
      </w:pPr>
    </w:lvl>
    <w:lvl w:ilvl="3" w:tplc="100A000F" w:tentative="1">
      <w:start w:val="1"/>
      <w:numFmt w:val="decimal"/>
      <w:lvlText w:val="%4."/>
      <w:lvlJc w:val="left"/>
      <w:pPr>
        <w:ind w:left="3228" w:hanging="360"/>
      </w:pPr>
    </w:lvl>
    <w:lvl w:ilvl="4" w:tplc="100A0019" w:tentative="1">
      <w:start w:val="1"/>
      <w:numFmt w:val="lowerLetter"/>
      <w:lvlText w:val="%5."/>
      <w:lvlJc w:val="left"/>
      <w:pPr>
        <w:ind w:left="3948" w:hanging="360"/>
      </w:pPr>
    </w:lvl>
    <w:lvl w:ilvl="5" w:tplc="100A001B" w:tentative="1">
      <w:start w:val="1"/>
      <w:numFmt w:val="lowerRoman"/>
      <w:lvlText w:val="%6."/>
      <w:lvlJc w:val="right"/>
      <w:pPr>
        <w:ind w:left="4668" w:hanging="180"/>
      </w:pPr>
    </w:lvl>
    <w:lvl w:ilvl="6" w:tplc="100A000F" w:tentative="1">
      <w:start w:val="1"/>
      <w:numFmt w:val="decimal"/>
      <w:lvlText w:val="%7."/>
      <w:lvlJc w:val="left"/>
      <w:pPr>
        <w:ind w:left="5388" w:hanging="360"/>
      </w:pPr>
    </w:lvl>
    <w:lvl w:ilvl="7" w:tplc="100A0019" w:tentative="1">
      <w:start w:val="1"/>
      <w:numFmt w:val="lowerLetter"/>
      <w:lvlText w:val="%8."/>
      <w:lvlJc w:val="left"/>
      <w:pPr>
        <w:ind w:left="6108" w:hanging="360"/>
      </w:pPr>
    </w:lvl>
    <w:lvl w:ilvl="8" w:tplc="100A001B" w:tentative="1">
      <w:start w:val="1"/>
      <w:numFmt w:val="lowerRoman"/>
      <w:lvlText w:val="%9."/>
      <w:lvlJc w:val="right"/>
      <w:pPr>
        <w:ind w:left="6828" w:hanging="180"/>
      </w:pPr>
    </w:lvl>
  </w:abstractNum>
  <w:abstractNum w:abstractNumId="40" w15:restartNumberingAfterBreak="0">
    <w:nsid w:val="75050691"/>
    <w:multiLevelType w:val="hybridMultilevel"/>
    <w:tmpl w:val="ED325860"/>
    <w:lvl w:ilvl="0" w:tplc="BDAE2E86">
      <w:start w:val="1"/>
      <w:numFmt w:val="bullet"/>
      <w:lvlText w:val=""/>
      <w:lvlJc w:val="left"/>
      <w:pPr>
        <w:ind w:left="720" w:hanging="360"/>
      </w:pPr>
      <w:rPr>
        <w:rFonts w:ascii="Symbol" w:hAnsi="Symbol" w:hint="default"/>
        <w:color w:val="auto"/>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41" w15:restartNumberingAfterBreak="0">
    <w:nsid w:val="7BD86473"/>
    <w:multiLevelType w:val="hybridMultilevel"/>
    <w:tmpl w:val="AFA85F1A"/>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42" w15:restartNumberingAfterBreak="0">
    <w:nsid w:val="7E490913"/>
    <w:multiLevelType w:val="hybridMultilevel"/>
    <w:tmpl w:val="8D88FC8E"/>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43" w15:restartNumberingAfterBreak="0">
    <w:nsid w:val="7FC208F4"/>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26"/>
  </w:num>
  <w:num w:numId="2">
    <w:abstractNumId w:val="24"/>
  </w:num>
  <w:num w:numId="3">
    <w:abstractNumId w:val="13"/>
  </w:num>
  <w:num w:numId="4">
    <w:abstractNumId w:val="12"/>
  </w:num>
  <w:num w:numId="5">
    <w:abstractNumId w:val="30"/>
  </w:num>
  <w:num w:numId="6">
    <w:abstractNumId w:val="41"/>
  </w:num>
  <w:num w:numId="7">
    <w:abstractNumId w:val="31"/>
  </w:num>
  <w:num w:numId="8">
    <w:abstractNumId w:val="4"/>
  </w:num>
  <w:num w:numId="9">
    <w:abstractNumId w:val="3"/>
  </w:num>
  <w:num w:numId="10">
    <w:abstractNumId w:val="19"/>
  </w:num>
  <w:num w:numId="11">
    <w:abstractNumId w:val="20"/>
  </w:num>
  <w:num w:numId="12">
    <w:abstractNumId w:val="23"/>
  </w:num>
  <w:num w:numId="13">
    <w:abstractNumId w:val="32"/>
  </w:num>
  <w:num w:numId="14">
    <w:abstractNumId w:val="27"/>
  </w:num>
  <w:num w:numId="15">
    <w:abstractNumId w:val="7"/>
  </w:num>
  <w:num w:numId="16">
    <w:abstractNumId w:val="0"/>
  </w:num>
  <w:num w:numId="17">
    <w:abstractNumId w:val="17"/>
  </w:num>
  <w:num w:numId="18">
    <w:abstractNumId w:val="22"/>
  </w:num>
  <w:num w:numId="19">
    <w:abstractNumId w:val="35"/>
  </w:num>
  <w:num w:numId="20">
    <w:abstractNumId w:val="16"/>
  </w:num>
  <w:num w:numId="21">
    <w:abstractNumId w:val="37"/>
  </w:num>
  <w:num w:numId="22">
    <w:abstractNumId w:val="39"/>
  </w:num>
  <w:num w:numId="23">
    <w:abstractNumId w:val="15"/>
  </w:num>
  <w:num w:numId="24">
    <w:abstractNumId w:val="15"/>
  </w:num>
  <w:num w:numId="25">
    <w:abstractNumId w:val="9"/>
  </w:num>
  <w:num w:numId="26">
    <w:abstractNumId w:val="2"/>
  </w:num>
  <w:num w:numId="27">
    <w:abstractNumId w:val="36"/>
  </w:num>
  <w:num w:numId="28">
    <w:abstractNumId w:val="10"/>
  </w:num>
  <w:num w:numId="29">
    <w:abstractNumId w:val="14"/>
  </w:num>
  <w:num w:numId="30">
    <w:abstractNumId w:val="40"/>
  </w:num>
  <w:num w:numId="31">
    <w:abstractNumId w:val="1"/>
  </w:num>
  <w:num w:numId="32">
    <w:abstractNumId w:val="34"/>
  </w:num>
  <w:num w:numId="33">
    <w:abstractNumId w:val="42"/>
  </w:num>
  <w:num w:numId="34">
    <w:abstractNumId w:val="18"/>
  </w:num>
  <w:num w:numId="35">
    <w:abstractNumId w:val="11"/>
  </w:num>
  <w:num w:numId="36">
    <w:abstractNumId w:val="43"/>
  </w:num>
  <w:num w:numId="37">
    <w:abstractNumId w:val="33"/>
  </w:num>
  <w:num w:numId="38">
    <w:abstractNumId w:val="21"/>
  </w:num>
  <w:num w:numId="39">
    <w:abstractNumId w:val="29"/>
  </w:num>
  <w:num w:numId="40">
    <w:abstractNumId w:val="6"/>
  </w:num>
  <w:num w:numId="41">
    <w:abstractNumId w:val="25"/>
  </w:num>
  <w:num w:numId="42">
    <w:abstractNumId w:val="28"/>
  </w:num>
  <w:num w:numId="43">
    <w:abstractNumId w:val="8"/>
  </w:num>
  <w:num w:numId="44">
    <w:abstractNumId w:val="5"/>
  </w:num>
  <w:num w:numId="45">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3598"/>
    <w:rsid w:val="000002AE"/>
    <w:rsid w:val="000003CC"/>
    <w:rsid w:val="00000530"/>
    <w:rsid w:val="00000926"/>
    <w:rsid w:val="000013F6"/>
    <w:rsid w:val="0000165C"/>
    <w:rsid w:val="000019FB"/>
    <w:rsid w:val="00001B7A"/>
    <w:rsid w:val="00001ED4"/>
    <w:rsid w:val="000032AE"/>
    <w:rsid w:val="000038B1"/>
    <w:rsid w:val="00003BA5"/>
    <w:rsid w:val="000045FB"/>
    <w:rsid w:val="00005EB8"/>
    <w:rsid w:val="0000665E"/>
    <w:rsid w:val="000073D2"/>
    <w:rsid w:val="00007F68"/>
    <w:rsid w:val="00010D58"/>
    <w:rsid w:val="000115A2"/>
    <w:rsid w:val="000121A8"/>
    <w:rsid w:val="00012FB4"/>
    <w:rsid w:val="0001329E"/>
    <w:rsid w:val="000134F1"/>
    <w:rsid w:val="00014246"/>
    <w:rsid w:val="0001429E"/>
    <w:rsid w:val="00014EAD"/>
    <w:rsid w:val="00015370"/>
    <w:rsid w:val="00016CEF"/>
    <w:rsid w:val="00017427"/>
    <w:rsid w:val="00017D51"/>
    <w:rsid w:val="0002091B"/>
    <w:rsid w:val="00020F69"/>
    <w:rsid w:val="000212B0"/>
    <w:rsid w:val="00021FD5"/>
    <w:rsid w:val="00023745"/>
    <w:rsid w:val="00023981"/>
    <w:rsid w:val="00023ADD"/>
    <w:rsid w:val="00023DC8"/>
    <w:rsid w:val="00024DE4"/>
    <w:rsid w:val="00024FF6"/>
    <w:rsid w:val="00025456"/>
    <w:rsid w:val="0002670B"/>
    <w:rsid w:val="000267E3"/>
    <w:rsid w:val="00027A8F"/>
    <w:rsid w:val="000306FE"/>
    <w:rsid w:val="00031937"/>
    <w:rsid w:val="00031A96"/>
    <w:rsid w:val="00032230"/>
    <w:rsid w:val="00032B26"/>
    <w:rsid w:val="00033312"/>
    <w:rsid w:val="00033638"/>
    <w:rsid w:val="00033B15"/>
    <w:rsid w:val="00033DB1"/>
    <w:rsid w:val="000347FD"/>
    <w:rsid w:val="00035952"/>
    <w:rsid w:val="00035C14"/>
    <w:rsid w:val="00035E51"/>
    <w:rsid w:val="00036843"/>
    <w:rsid w:val="000369C8"/>
    <w:rsid w:val="00042669"/>
    <w:rsid w:val="00042AA3"/>
    <w:rsid w:val="00043B88"/>
    <w:rsid w:val="00044AF8"/>
    <w:rsid w:val="00045570"/>
    <w:rsid w:val="00045861"/>
    <w:rsid w:val="00045CD6"/>
    <w:rsid w:val="00046004"/>
    <w:rsid w:val="00046060"/>
    <w:rsid w:val="000476BB"/>
    <w:rsid w:val="00047AF2"/>
    <w:rsid w:val="000500D6"/>
    <w:rsid w:val="00051734"/>
    <w:rsid w:val="0005215A"/>
    <w:rsid w:val="00053AD6"/>
    <w:rsid w:val="00053F58"/>
    <w:rsid w:val="0005529E"/>
    <w:rsid w:val="00055D08"/>
    <w:rsid w:val="00055DD0"/>
    <w:rsid w:val="00057827"/>
    <w:rsid w:val="00057EB8"/>
    <w:rsid w:val="000617F8"/>
    <w:rsid w:val="00061975"/>
    <w:rsid w:val="00061E2E"/>
    <w:rsid w:val="0006231C"/>
    <w:rsid w:val="00062CBA"/>
    <w:rsid w:val="00062E16"/>
    <w:rsid w:val="00062ED8"/>
    <w:rsid w:val="00063364"/>
    <w:rsid w:val="00063A1D"/>
    <w:rsid w:val="00063CB5"/>
    <w:rsid w:val="000642AF"/>
    <w:rsid w:val="0006477B"/>
    <w:rsid w:val="00064BA9"/>
    <w:rsid w:val="00064EA8"/>
    <w:rsid w:val="00065259"/>
    <w:rsid w:val="00065451"/>
    <w:rsid w:val="00065991"/>
    <w:rsid w:val="00066095"/>
    <w:rsid w:val="0006680E"/>
    <w:rsid w:val="00066CD1"/>
    <w:rsid w:val="00067741"/>
    <w:rsid w:val="000678AC"/>
    <w:rsid w:val="00067B4A"/>
    <w:rsid w:val="00070108"/>
    <w:rsid w:val="00070552"/>
    <w:rsid w:val="000705C1"/>
    <w:rsid w:val="000707A3"/>
    <w:rsid w:val="00070899"/>
    <w:rsid w:val="00071109"/>
    <w:rsid w:val="00071810"/>
    <w:rsid w:val="00071B55"/>
    <w:rsid w:val="00071DD6"/>
    <w:rsid w:val="00072136"/>
    <w:rsid w:val="00072BAA"/>
    <w:rsid w:val="0007319D"/>
    <w:rsid w:val="000737A4"/>
    <w:rsid w:val="000741A3"/>
    <w:rsid w:val="00074337"/>
    <w:rsid w:val="00074476"/>
    <w:rsid w:val="000754D5"/>
    <w:rsid w:val="00076415"/>
    <w:rsid w:val="00080F5E"/>
    <w:rsid w:val="00081A07"/>
    <w:rsid w:val="000823E4"/>
    <w:rsid w:val="00082E65"/>
    <w:rsid w:val="00083239"/>
    <w:rsid w:val="000836FF"/>
    <w:rsid w:val="0008380C"/>
    <w:rsid w:val="00083DEF"/>
    <w:rsid w:val="000846BE"/>
    <w:rsid w:val="00084748"/>
    <w:rsid w:val="000852BF"/>
    <w:rsid w:val="000858E9"/>
    <w:rsid w:val="00085E1C"/>
    <w:rsid w:val="0008619F"/>
    <w:rsid w:val="000865AA"/>
    <w:rsid w:val="00086C6E"/>
    <w:rsid w:val="00087430"/>
    <w:rsid w:val="00087551"/>
    <w:rsid w:val="0008775B"/>
    <w:rsid w:val="00087EC1"/>
    <w:rsid w:val="00087EE1"/>
    <w:rsid w:val="00087EFB"/>
    <w:rsid w:val="00090202"/>
    <w:rsid w:val="00090AF4"/>
    <w:rsid w:val="000918BC"/>
    <w:rsid w:val="00091A7F"/>
    <w:rsid w:val="00092A19"/>
    <w:rsid w:val="00093A1B"/>
    <w:rsid w:val="00094A23"/>
    <w:rsid w:val="0009511C"/>
    <w:rsid w:val="00095331"/>
    <w:rsid w:val="00096497"/>
    <w:rsid w:val="00096FA6"/>
    <w:rsid w:val="00097862"/>
    <w:rsid w:val="000A2D14"/>
    <w:rsid w:val="000A2D19"/>
    <w:rsid w:val="000A424A"/>
    <w:rsid w:val="000A47FE"/>
    <w:rsid w:val="000A5922"/>
    <w:rsid w:val="000A5B5B"/>
    <w:rsid w:val="000A5FC5"/>
    <w:rsid w:val="000A60A1"/>
    <w:rsid w:val="000A74BA"/>
    <w:rsid w:val="000A7E28"/>
    <w:rsid w:val="000B057B"/>
    <w:rsid w:val="000B072C"/>
    <w:rsid w:val="000B0FCB"/>
    <w:rsid w:val="000B12F0"/>
    <w:rsid w:val="000B1376"/>
    <w:rsid w:val="000B1C5F"/>
    <w:rsid w:val="000B2992"/>
    <w:rsid w:val="000B29FE"/>
    <w:rsid w:val="000B2E7A"/>
    <w:rsid w:val="000B346C"/>
    <w:rsid w:val="000B404E"/>
    <w:rsid w:val="000B4083"/>
    <w:rsid w:val="000B4154"/>
    <w:rsid w:val="000B46D9"/>
    <w:rsid w:val="000B5E1C"/>
    <w:rsid w:val="000B6143"/>
    <w:rsid w:val="000B6B1B"/>
    <w:rsid w:val="000B76E1"/>
    <w:rsid w:val="000B778D"/>
    <w:rsid w:val="000C0470"/>
    <w:rsid w:val="000C070B"/>
    <w:rsid w:val="000C1B89"/>
    <w:rsid w:val="000C1CC5"/>
    <w:rsid w:val="000C1F8D"/>
    <w:rsid w:val="000C25EB"/>
    <w:rsid w:val="000C3476"/>
    <w:rsid w:val="000C3496"/>
    <w:rsid w:val="000C3E95"/>
    <w:rsid w:val="000C4AD1"/>
    <w:rsid w:val="000C51BD"/>
    <w:rsid w:val="000C54D3"/>
    <w:rsid w:val="000C5BA6"/>
    <w:rsid w:val="000C5BDD"/>
    <w:rsid w:val="000C7076"/>
    <w:rsid w:val="000C795B"/>
    <w:rsid w:val="000C7E9B"/>
    <w:rsid w:val="000D1059"/>
    <w:rsid w:val="000D17AF"/>
    <w:rsid w:val="000D2677"/>
    <w:rsid w:val="000D2952"/>
    <w:rsid w:val="000D29F4"/>
    <w:rsid w:val="000D2D05"/>
    <w:rsid w:val="000D2DE9"/>
    <w:rsid w:val="000D2DF6"/>
    <w:rsid w:val="000D2F4D"/>
    <w:rsid w:val="000D3566"/>
    <w:rsid w:val="000D365F"/>
    <w:rsid w:val="000D4B4D"/>
    <w:rsid w:val="000D4B80"/>
    <w:rsid w:val="000D57BA"/>
    <w:rsid w:val="000D58D6"/>
    <w:rsid w:val="000D734F"/>
    <w:rsid w:val="000D7477"/>
    <w:rsid w:val="000E058F"/>
    <w:rsid w:val="000E0DAA"/>
    <w:rsid w:val="000E1495"/>
    <w:rsid w:val="000E193E"/>
    <w:rsid w:val="000E3036"/>
    <w:rsid w:val="000E3B60"/>
    <w:rsid w:val="000E3BAE"/>
    <w:rsid w:val="000E3E7A"/>
    <w:rsid w:val="000E488C"/>
    <w:rsid w:val="000E51BC"/>
    <w:rsid w:val="000E5997"/>
    <w:rsid w:val="000E5CCD"/>
    <w:rsid w:val="000E5D0D"/>
    <w:rsid w:val="000E60F8"/>
    <w:rsid w:val="000E6989"/>
    <w:rsid w:val="000E7209"/>
    <w:rsid w:val="000F058D"/>
    <w:rsid w:val="000F0DA3"/>
    <w:rsid w:val="000F1214"/>
    <w:rsid w:val="000F19C1"/>
    <w:rsid w:val="000F2939"/>
    <w:rsid w:val="000F3450"/>
    <w:rsid w:val="000F41CA"/>
    <w:rsid w:val="000F4F51"/>
    <w:rsid w:val="000F53ED"/>
    <w:rsid w:val="000F62DA"/>
    <w:rsid w:val="001016EC"/>
    <w:rsid w:val="00101A90"/>
    <w:rsid w:val="00101FE5"/>
    <w:rsid w:val="00102276"/>
    <w:rsid w:val="001023B3"/>
    <w:rsid w:val="00103354"/>
    <w:rsid w:val="00103E94"/>
    <w:rsid w:val="001043AB"/>
    <w:rsid w:val="001057E4"/>
    <w:rsid w:val="00105EBF"/>
    <w:rsid w:val="001068D2"/>
    <w:rsid w:val="00106959"/>
    <w:rsid w:val="00106EF4"/>
    <w:rsid w:val="0010734F"/>
    <w:rsid w:val="00107432"/>
    <w:rsid w:val="00107A66"/>
    <w:rsid w:val="00107D8A"/>
    <w:rsid w:val="001100B3"/>
    <w:rsid w:val="00110318"/>
    <w:rsid w:val="001107CB"/>
    <w:rsid w:val="001111A3"/>
    <w:rsid w:val="00111626"/>
    <w:rsid w:val="00111D58"/>
    <w:rsid w:val="00112A52"/>
    <w:rsid w:val="00112EB2"/>
    <w:rsid w:val="00113A1E"/>
    <w:rsid w:val="00113D53"/>
    <w:rsid w:val="00114083"/>
    <w:rsid w:val="001142BF"/>
    <w:rsid w:val="00114548"/>
    <w:rsid w:val="00114555"/>
    <w:rsid w:val="001147A1"/>
    <w:rsid w:val="00115772"/>
    <w:rsid w:val="00115AE0"/>
    <w:rsid w:val="00116127"/>
    <w:rsid w:val="00116A12"/>
    <w:rsid w:val="00117AC8"/>
    <w:rsid w:val="00121349"/>
    <w:rsid w:val="001214B6"/>
    <w:rsid w:val="00121649"/>
    <w:rsid w:val="00121A26"/>
    <w:rsid w:val="00122F2F"/>
    <w:rsid w:val="00122FDE"/>
    <w:rsid w:val="0012357F"/>
    <w:rsid w:val="00123CB6"/>
    <w:rsid w:val="0012656D"/>
    <w:rsid w:val="00126E0E"/>
    <w:rsid w:val="0012763E"/>
    <w:rsid w:val="001276C3"/>
    <w:rsid w:val="0012783A"/>
    <w:rsid w:val="00127FBD"/>
    <w:rsid w:val="00130BCE"/>
    <w:rsid w:val="001313C1"/>
    <w:rsid w:val="00131669"/>
    <w:rsid w:val="00131D6C"/>
    <w:rsid w:val="00131D79"/>
    <w:rsid w:val="001323BD"/>
    <w:rsid w:val="00132DC4"/>
    <w:rsid w:val="00133083"/>
    <w:rsid w:val="00134770"/>
    <w:rsid w:val="0013499D"/>
    <w:rsid w:val="00135308"/>
    <w:rsid w:val="001359D4"/>
    <w:rsid w:val="00135FB7"/>
    <w:rsid w:val="0013608E"/>
    <w:rsid w:val="00136243"/>
    <w:rsid w:val="001401B1"/>
    <w:rsid w:val="001408F3"/>
    <w:rsid w:val="00141216"/>
    <w:rsid w:val="00141467"/>
    <w:rsid w:val="0014161C"/>
    <w:rsid w:val="00143578"/>
    <w:rsid w:val="001440DB"/>
    <w:rsid w:val="00145AE6"/>
    <w:rsid w:val="0014637C"/>
    <w:rsid w:val="00146B11"/>
    <w:rsid w:val="00146C6D"/>
    <w:rsid w:val="00146E1A"/>
    <w:rsid w:val="001470BF"/>
    <w:rsid w:val="0014747D"/>
    <w:rsid w:val="001479E4"/>
    <w:rsid w:val="00147A6B"/>
    <w:rsid w:val="00147BFA"/>
    <w:rsid w:val="001500AB"/>
    <w:rsid w:val="001504EE"/>
    <w:rsid w:val="00150748"/>
    <w:rsid w:val="00151A60"/>
    <w:rsid w:val="0015275F"/>
    <w:rsid w:val="00152BD7"/>
    <w:rsid w:val="00153096"/>
    <w:rsid w:val="00153B8C"/>
    <w:rsid w:val="00153D01"/>
    <w:rsid w:val="00154AFD"/>
    <w:rsid w:val="0015532C"/>
    <w:rsid w:val="001559F9"/>
    <w:rsid w:val="00157E39"/>
    <w:rsid w:val="001604DC"/>
    <w:rsid w:val="001604E9"/>
    <w:rsid w:val="001605C0"/>
    <w:rsid w:val="00160BA5"/>
    <w:rsid w:val="001610AF"/>
    <w:rsid w:val="0016130F"/>
    <w:rsid w:val="001613DC"/>
    <w:rsid w:val="001623FA"/>
    <w:rsid w:val="001628C8"/>
    <w:rsid w:val="00162970"/>
    <w:rsid w:val="0016346E"/>
    <w:rsid w:val="00163B12"/>
    <w:rsid w:val="00163DED"/>
    <w:rsid w:val="0016414B"/>
    <w:rsid w:val="00164250"/>
    <w:rsid w:val="00164331"/>
    <w:rsid w:val="001650AC"/>
    <w:rsid w:val="00166CE0"/>
    <w:rsid w:val="001674F6"/>
    <w:rsid w:val="00167B5B"/>
    <w:rsid w:val="00167C01"/>
    <w:rsid w:val="001701AC"/>
    <w:rsid w:val="001703DF"/>
    <w:rsid w:val="001708EB"/>
    <w:rsid w:val="001718B6"/>
    <w:rsid w:val="00173790"/>
    <w:rsid w:val="00173979"/>
    <w:rsid w:val="00175199"/>
    <w:rsid w:val="00175DBD"/>
    <w:rsid w:val="001765BE"/>
    <w:rsid w:val="00177A7B"/>
    <w:rsid w:val="00180579"/>
    <w:rsid w:val="0018117D"/>
    <w:rsid w:val="00181AC7"/>
    <w:rsid w:val="00181E8C"/>
    <w:rsid w:val="001822D3"/>
    <w:rsid w:val="00182971"/>
    <w:rsid w:val="00182B79"/>
    <w:rsid w:val="00182E81"/>
    <w:rsid w:val="001832CB"/>
    <w:rsid w:val="001838CB"/>
    <w:rsid w:val="00183D01"/>
    <w:rsid w:val="00183EF6"/>
    <w:rsid w:val="00184554"/>
    <w:rsid w:val="00184930"/>
    <w:rsid w:val="00186ACF"/>
    <w:rsid w:val="00190258"/>
    <w:rsid w:val="001906F4"/>
    <w:rsid w:val="00190C51"/>
    <w:rsid w:val="00191BA7"/>
    <w:rsid w:val="0019223F"/>
    <w:rsid w:val="00192264"/>
    <w:rsid w:val="001932CF"/>
    <w:rsid w:val="00193413"/>
    <w:rsid w:val="00193495"/>
    <w:rsid w:val="00193923"/>
    <w:rsid w:val="00193B3F"/>
    <w:rsid w:val="00193F01"/>
    <w:rsid w:val="00196269"/>
    <w:rsid w:val="00196B0B"/>
    <w:rsid w:val="00197385"/>
    <w:rsid w:val="00197631"/>
    <w:rsid w:val="001979A1"/>
    <w:rsid w:val="001A0005"/>
    <w:rsid w:val="001A00C9"/>
    <w:rsid w:val="001A022D"/>
    <w:rsid w:val="001A1804"/>
    <w:rsid w:val="001A1D21"/>
    <w:rsid w:val="001A1E5E"/>
    <w:rsid w:val="001A20FB"/>
    <w:rsid w:val="001A2E9A"/>
    <w:rsid w:val="001A30CA"/>
    <w:rsid w:val="001A3807"/>
    <w:rsid w:val="001A3DAA"/>
    <w:rsid w:val="001A4726"/>
    <w:rsid w:val="001A47B1"/>
    <w:rsid w:val="001A4D7B"/>
    <w:rsid w:val="001A5253"/>
    <w:rsid w:val="001A683F"/>
    <w:rsid w:val="001A708A"/>
    <w:rsid w:val="001A70BA"/>
    <w:rsid w:val="001A7138"/>
    <w:rsid w:val="001A7605"/>
    <w:rsid w:val="001A7B54"/>
    <w:rsid w:val="001A7B66"/>
    <w:rsid w:val="001B0B04"/>
    <w:rsid w:val="001B0E2C"/>
    <w:rsid w:val="001B1571"/>
    <w:rsid w:val="001B1821"/>
    <w:rsid w:val="001B21B7"/>
    <w:rsid w:val="001B285E"/>
    <w:rsid w:val="001B2958"/>
    <w:rsid w:val="001B29CF"/>
    <w:rsid w:val="001B2B19"/>
    <w:rsid w:val="001B2E72"/>
    <w:rsid w:val="001B3A8F"/>
    <w:rsid w:val="001B3C43"/>
    <w:rsid w:val="001B423D"/>
    <w:rsid w:val="001B4D15"/>
    <w:rsid w:val="001B55B2"/>
    <w:rsid w:val="001B61DF"/>
    <w:rsid w:val="001B6D43"/>
    <w:rsid w:val="001B71EE"/>
    <w:rsid w:val="001B7969"/>
    <w:rsid w:val="001B7BC8"/>
    <w:rsid w:val="001C0194"/>
    <w:rsid w:val="001C0450"/>
    <w:rsid w:val="001C19CB"/>
    <w:rsid w:val="001C1B0B"/>
    <w:rsid w:val="001C1F0C"/>
    <w:rsid w:val="001C29A0"/>
    <w:rsid w:val="001C2E49"/>
    <w:rsid w:val="001C34B5"/>
    <w:rsid w:val="001C3E21"/>
    <w:rsid w:val="001C4E87"/>
    <w:rsid w:val="001C55F6"/>
    <w:rsid w:val="001C5F1C"/>
    <w:rsid w:val="001C6301"/>
    <w:rsid w:val="001C677D"/>
    <w:rsid w:val="001C7576"/>
    <w:rsid w:val="001C788D"/>
    <w:rsid w:val="001D0130"/>
    <w:rsid w:val="001D016C"/>
    <w:rsid w:val="001D1A94"/>
    <w:rsid w:val="001D1C90"/>
    <w:rsid w:val="001D1C9B"/>
    <w:rsid w:val="001D1D27"/>
    <w:rsid w:val="001D2C47"/>
    <w:rsid w:val="001D41AC"/>
    <w:rsid w:val="001D4B18"/>
    <w:rsid w:val="001D54E4"/>
    <w:rsid w:val="001E06F3"/>
    <w:rsid w:val="001E0870"/>
    <w:rsid w:val="001E0EF9"/>
    <w:rsid w:val="001E130A"/>
    <w:rsid w:val="001E1AAB"/>
    <w:rsid w:val="001E3041"/>
    <w:rsid w:val="001E331B"/>
    <w:rsid w:val="001E4277"/>
    <w:rsid w:val="001E4C34"/>
    <w:rsid w:val="001E4D39"/>
    <w:rsid w:val="001E4E3D"/>
    <w:rsid w:val="001E5588"/>
    <w:rsid w:val="001E5D28"/>
    <w:rsid w:val="001E62DA"/>
    <w:rsid w:val="001E7182"/>
    <w:rsid w:val="001E71BF"/>
    <w:rsid w:val="001E7E64"/>
    <w:rsid w:val="001F07B8"/>
    <w:rsid w:val="001F135F"/>
    <w:rsid w:val="001F1968"/>
    <w:rsid w:val="001F1BB6"/>
    <w:rsid w:val="001F25FC"/>
    <w:rsid w:val="001F2E5B"/>
    <w:rsid w:val="001F3668"/>
    <w:rsid w:val="001F3B9A"/>
    <w:rsid w:val="001F3D1E"/>
    <w:rsid w:val="001F43AE"/>
    <w:rsid w:val="001F488D"/>
    <w:rsid w:val="001F5A10"/>
    <w:rsid w:val="001F67A2"/>
    <w:rsid w:val="001F7025"/>
    <w:rsid w:val="001F71DC"/>
    <w:rsid w:val="001F7309"/>
    <w:rsid w:val="001F742E"/>
    <w:rsid w:val="002005A3"/>
    <w:rsid w:val="002005AD"/>
    <w:rsid w:val="002006B9"/>
    <w:rsid w:val="00201159"/>
    <w:rsid w:val="00201941"/>
    <w:rsid w:val="0020195F"/>
    <w:rsid w:val="00201C51"/>
    <w:rsid w:val="00201CD8"/>
    <w:rsid w:val="00203326"/>
    <w:rsid w:val="00203672"/>
    <w:rsid w:val="002043B3"/>
    <w:rsid w:val="00205055"/>
    <w:rsid w:val="00205BCA"/>
    <w:rsid w:val="0020607F"/>
    <w:rsid w:val="00206BA3"/>
    <w:rsid w:val="00206DBE"/>
    <w:rsid w:val="0020712A"/>
    <w:rsid w:val="002072B5"/>
    <w:rsid w:val="00210CD5"/>
    <w:rsid w:val="00211AE8"/>
    <w:rsid w:val="0021268B"/>
    <w:rsid w:val="002131CF"/>
    <w:rsid w:val="002131FE"/>
    <w:rsid w:val="00213435"/>
    <w:rsid w:val="0021423B"/>
    <w:rsid w:val="002147BD"/>
    <w:rsid w:val="00214947"/>
    <w:rsid w:val="00216846"/>
    <w:rsid w:val="0021699A"/>
    <w:rsid w:val="00216FC2"/>
    <w:rsid w:val="002171B6"/>
    <w:rsid w:val="0021724C"/>
    <w:rsid w:val="00217D1E"/>
    <w:rsid w:val="00220281"/>
    <w:rsid w:val="0022065E"/>
    <w:rsid w:val="00222586"/>
    <w:rsid w:val="00222AA5"/>
    <w:rsid w:val="0022319A"/>
    <w:rsid w:val="00225339"/>
    <w:rsid w:val="00225C31"/>
    <w:rsid w:val="002272A3"/>
    <w:rsid w:val="002303FC"/>
    <w:rsid w:val="00230F64"/>
    <w:rsid w:val="0023226A"/>
    <w:rsid w:val="00232937"/>
    <w:rsid w:val="0023357F"/>
    <w:rsid w:val="002338A1"/>
    <w:rsid w:val="002338DE"/>
    <w:rsid w:val="00234118"/>
    <w:rsid w:val="00234332"/>
    <w:rsid w:val="0023437E"/>
    <w:rsid w:val="00235297"/>
    <w:rsid w:val="002352FA"/>
    <w:rsid w:val="00235A61"/>
    <w:rsid w:val="00235C4F"/>
    <w:rsid w:val="00236A70"/>
    <w:rsid w:val="0023749B"/>
    <w:rsid w:val="002375A0"/>
    <w:rsid w:val="00240BCF"/>
    <w:rsid w:val="00241428"/>
    <w:rsid w:val="00241721"/>
    <w:rsid w:val="00241AC2"/>
    <w:rsid w:val="00241DF5"/>
    <w:rsid w:val="00242D1F"/>
    <w:rsid w:val="00243641"/>
    <w:rsid w:val="00243DA8"/>
    <w:rsid w:val="002440D9"/>
    <w:rsid w:val="00244A1B"/>
    <w:rsid w:val="002451BB"/>
    <w:rsid w:val="002457E2"/>
    <w:rsid w:val="00245D53"/>
    <w:rsid w:val="00246F23"/>
    <w:rsid w:val="002470D4"/>
    <w:rsid w:val="00250EA9"/>
    <w:rsid w:val="00250FD6"/>
    <w:rsid w:val="0025123E"/>
    <w:rsid w:val="0025146C"/>
    <w:rsid w:val="00251A72"/>
    <w:rsid w:val="00251F21"/>
    <w:rsid w:val="00252321"/>
    <w:rsid w:val="00252357"/>
    <w:rsid w:val="00252AFC"/>
    <w:rsid w:val="00252B1C"/>
    <w:rsid w:val="00253322"/>
    <w:rsid w:val="00253436"/>
    <w:rsid w:val="00253CD8"/>
    <w:rsid w:val="002551BA"/>
    <w:rsid w:val="00255FBE"/>
    <w:rsid w:val="002569AC"/>
    <w:rsid w:val="00261B47"/>
    <w:rsid w:val="00261BEE"/>
    <w:rsid w:val="00261DEB"/>
    <w:rsid w:val="002628E1"/>
    <w:rsid w:val="002630A4"/>
    <w:rsid w:val="002634CC"/>
    <w:rsid w:val="00263E10"/>
    <w:rsid w:val="00264074"/>
    <w:rsid w:val="00264727"/>
    <w:rsid w:val="00264A75"/>
    <w:rsid w:val="00264DDD"/>
    <w:rsid w:val="00264E6D"/>
    <w:rsid w:val="00266132"/>
    <w:rsid w:val="0026632E"/>
    <w:rsid w:val="002663D9"/>
    <w:rsid w:val="00266606"/>
    <w:rsid w:val="00267193"/>
    <w:rsid w:val="00267974"/>
    <w:rsid w:val="002700BC"/>
    <w:rsid w:val="002706F9"/>
    <w:rsid w:val="002710C2"/>
    <w:rsid w:val="00271377"/>
    <w:rsid w:val="00271558"/>
    <w:rsid w:val="00272ED5"/>
    <w:rsid w:val="002736D5"/>
    <w:rsid w:val="0027445C"/>
    <w:rsid w:val="0027513B"/>
    <w:rsid w:val="00275731"/>
    <w:rsid w:val="00275E3C"/>
    <w:rsid w:val="00276BE8"/>
    <w:rsid w:val="00276CEB"/>
    <w:rsid w:val="0027790A"/>
    <w:rsid w:val="002808AA"/>
    <w:rsid w:val="002809B2"/>
    <w:rsid w:val="00280D80"/>
    <w:rsid w:val="002813A3"/>
    <w:rsid w:val="002813C1"/>
    <w:rsid w:val="0028215F"/>
    <w:rsid w:val="00282253"/>
    <w:rsid w:val="002824AC"/>
    <w:rsid w:val="0028289F"/>
    <w:rsid w:val="0028329E"/>
    <w:rsid w:val="0028395D"/>
    <w:rsid w:val="0028426F"/>
    <w:rsid w:val="0028513C"/>
    <w:rsid w:val="002851AE"/>
    <w:rsid w:val="002860D8"/>
    <w:rsid w:val="00286939"/>
    <w:rsid w:val="00286B2D"/>
    <w:rsid w:val="0028717E"/>
    <w:rsid w:val="00287315"/>
    <w:rsid w:val="0029111B"/>
    <w:rsid w:val="00291993"/>
    <w:rsid w:val="00292383"/>
    <w:rsid w:val="00292CFB"/>
    <w:rsid w:val="00293196"/>
    <w:rsid w:val="002939FA"/>
    <w:rsid w:val="002948C9"/>
    <w:rsid w:val="00294990"/>
    <w:rsid w:val="00294F15"/>
    <w:rsid w:val="00295600"/>
    <w:rsid w:val="002968B3"/>
    <w:rsid w:val="002968F0"/>
    <w:rsid w:val="00296DF9"/>
    <w:rsid w:val="00297B84"/>
    <w:rsid w:val="00297EA1"/>
    <w:rsid w:val="002A01D5"/>
    <w:rsid w:val="002A06CC"/>
    <w:rsid w:val="002A0AB8"/>
    <w:rsid w:val="002A0E66"/>
    <w:rsid w:val="002A26FE"/>
    <w:rsid w:val="002A5BBD"/>
    <w:rsid w:val="002A60BD"/>
    <w:rsid w:val="002A6112"/>
    <w:rsid w:val="002A6968"/>
    <w:rsid w:val="002B07C9"/>
    <w:rsid w:val="002B0AEE"/>
    <w:rsid w:val="002B209D"/>
    <w:rsid w:val="002B2273"/>
    <w:rsid w:val="002B2594"/>
    <w:rsid w:val="002B2B84"/>
    <w:rsid w:val="002B2D17"/>
    <w:rsid w:val="002B4EDF"/>
    <w:rsid w:val="002B4F4E"/>
    <w:rsid w:val="002B5C31"/>
    <w:rsid w:val="002B5F1D"/>
    <w:rsid w:val="002B6254"/>
    <w:rsid w:val="002B650E"/>
    <w:rsid w:val="002B69F7"/>
    <w:rsid w:val="002B6CF8"/>
    <w:rsid w:val="002B716A"/>
    <w:rsid w:val="002B762F"/>
    <w:rsid w:val="002B7931"/>
    <w:rsid w:val="002B7AC2"/>
    <w:rsid w:val="002C0E86"/>
    <w:rsid w:val="002C1DC7"/>
    <w:rsid w:val="002C2027"/>
    <w:rsid w:val="002C2A89"/>
    <w:rsid w:val="002C3498"/>
    <w:rsid w:val="002C3671"/>
    <w:rsid w:val="002C3755"/>
    <w:rsid w:val="002C53CC"/>
    <w:rsid w:val="002C64A2"/>
    <w:rsid w:val="002C66E8"/>
    <w:rsid w:val="002C7FB8"/>
    <w:rsid w:val="002D03CF"/>
    <w:rsid w:val="002D05A5"/>
    <w:rsid w:val="002D0BE6"/>
    <w:rsid w:val="002D1182"/>
    <w:rsid w:val="002D1469"/>
    <w:rsid w:val="002D1E9B"/>
    <w:rsid w:val="002D32C9"/>
    <w:rsid w:val="002D4A52"/>
    <w:rsid w:val="002D4A5A"/>
    <w:rsid w:val="002D4AEA"/>
    <w:rsid w:val="002D5151"/>
    <w:rsid w:val="002D5DEA"/>
    <w:rsid w:val="002D72BD"/>
    <w:rsid w:val="002D7A60"/>
    <w:rsid w:val="002D7AF6"/>
    <w:rsid w:val="002E0416"/>
    <w:rsid w:val="002E109C"/>
    <w:rsid w:val="002E1E22"/>
    <w:rsid w:val="002E2176"/>
    <w:rsid w:val="002E2221"/>
    <w:rsid w:val="002E2298"/>
    <w:rsid w:val="002E2437"/>
    <w:rsid w:val="002E2464"/>
    <w:rsid w:val="002E30D7"/>
    <w:rsid w:val="002E350E"/>
    <w:rsid w:val="002E3C2D"/>
    <w:rsid w:val="002E3F7A"/>
    <w:rsid w:val="002E4264"/>
    <w:rsid w:val="002E46A5"/>
    <w:rsid w:val="002E5F7F"/>
    <w:rsid w:val="002E652B"/>
    <w:rsid w:val="002E7051"/>
    <w:rsid w:val="002E7C22"/>
    <w:rsid w:val="002F0480"/>
    <w:rsid w:val="002F07A8"/>
    <w:rsid w:val="002F1822"/>
    <w:rsid w:val="002F1A09"/>
    <w:rsid w:val="002F2FB3"/>
    <w:rsid w:val="002F347E"/>
    <w:rsid w:val="002F3D03"/>
    <w:rsid w:val="002F4F4A"/>
    <w:rsid w:val="002F5792"/>
    <w:rsid w:val="002F618C"/>
    <w:rsid w:val="002F6611"/>
    <w:rsid w:val="002F6BD4"/>
    <w:rsid w:val="002F7F6F"/>
    <w:rsid w:val="003000C2"/>
    <w:rsid w:val="003007BE"/>
    <w:rsid w:val="003009C9"/>
    <w:rsid w:val="00300A50"/>
    <w:rsid w:val="00300F2D"/>
    <w:rsid w:val="00301F9F"/>
    <w:rsid w:val="00302462"/>
    <w:rsid w:val="00302603"/>
    <w:rsid w:val="00302799"/>
    <w:rsid w:val="00302EF9"/>
    <w:rsid w:val="00303787"/>
    <w:rsid w:val="00303B1F"/>
    <w:rsid w:val="003044D2"/>
    <w:rsid w:val="00304996"/>
    <w:rsid w:val="00304B36"/>
    <w:rsid w:val="00305FA4"/>
    <w:rsid w:val="0030676A"/>
    <w:rsid w:val="00306802"/>
    <w:rsid w:val="00307581"/>
    <w:rsid w:val="0030772A"/>
    <w:rsid w:val="00307D21"/>
    <w:rsid w:val="00310612"/>
    <w:rsid w:val="0031062A"/>
    <w:rsid w:val="00310F0E"/>
    <w:rsid w:val="00311363"/>
    <w:rsid w:val="0031152E"/>
    <w:rsid w:val="00311D47"/>
    <w:rsid w:val="003126A5"/>
    <w:rsid w:val="00313249"/>
    <w:rsid w:val="00313EDC"/>
    <w:rsid w:val="00314383"/>
    <w:rsid w:val="003143B8"/>
    <w:rsid w:val="00316717"/>
    <w:rsid w:val="00320DA0"/>
    <w:rsid w:val="0032156A"/>
    <w:rsid w:val="0032216F"/>
    <w:rsid w:val="0032255F"/>
    <w:rsid w:val="00323314"/>
    <w:rsid w:val="00323933"/>
    <w:rsid w:val="003241D8"/>
    <w:rsid w:val="00324705"/>
    <w:rsid w:val="00324F52"/>
    <w:rsid w:val="0032588B"/>
    <w:rsid w:val="00325C52"/>
    <w:rsid w:val="00325EC5"/>
    <w:rsid w:val="00326351"/>
    <w:rsid w:val="00327EE2"/>
    <w:rsid w:val="00330C82"/>
    <w:rsid w:val="003311EF"/>
    <w:rsid w:val="0033184E"/>
    <w:rsid w:val="00331A35"/>
    <w:rsid w:val="00331C19"/>
    <w:rsid w:val="00331C73"/>
    <w:rsid w:val="00332E4E"/>
    <w:rsid w:val="00333574"/>
    <w:rsid w:val="00333809"/>
    <w:rsid w:val="00333816"/>
    <w:rsid w:val="003338F1"/>
    <w:rsid w:val="00333F4D"/>
    <w:rsid w:val="0033522F"/>
    <w:rsid w:val="003359FE"/>
    <w:rsid w:val="00335BDB"/>
    <w:rsid w:val="00336927"/>
    <w:rsid w:val="00336EDF"/>
    <w:rsid w:val="00337496"/>
    <w:rsid w:val="003375C1"/>
    <w:rsid w:val="0034043A"/>
    <w:rsid w:val="00340E13"/>
    <w:rsid w:val="0034386E"/>
    <w:rsid w:val="00343934"/>
    <w:rsid w:val="00343A1D"/>
    <w:rsid w:val="00343A8A"/>
    <w:rsid w:val="00344278"/>
    <w:rsid w:val="003442AD"/>
    <w:rsid w:val="003465C8"/>
    <w:rsid w:val="003466CC"/>
    <w:rsid w:val="00347243"/>
    <w:rsid w:val="00347377"/>
    <w:rsid w:val="0034753C"/>
    <w:rsid w:val="0035070F"/>
    <w:rsid w:val="00352045"/>
    <w:rsid w:val="00353B7E"/>
    <w:rsid w:val="00353F26"/>
    <w:rsid w:val="003541D8"/>
    <w:rsid w:val="00354481"/>
    <w:rsid w:val="00355113"/>
    <w:rsid w:val="00355234"/>
    <w:rsid w:val="003554AC"/>
    <w:rsid w:val="00355C36"/>
    <w:rsid w:val="00356F7F"/>
    <w:rsid w:val="00357B90"/>
    <w:rsid w:val="00357F5B"/>
    <w:rsid w:val="003602DE"/>
    <w:rsid w:val="003605B6"/>
    <w:rsid w:val="00361010"/>
    <w:rsid w:val="0036217B"/>
    <w:rsid w:val="00362357"/>
    <w:rsid w:val="003624FC"/>
    <w:rsid w:val="0036359B"/>
    <w:rsid w:val="00363B4C"/>
    <w:rsid w:val="00364844"/>
    <w:rsid w:val="00365DDD"/>
    <w:rsid w:val="00365DF5"/>
    <w:rsid w:val="00366C94"/>
    <w:rsid w:val="00366E5D"/>
    <w:rsid w:val="00366F3F"/>
    <w:rsid w:val="00367005"/>
    <w:rsid w:val="003673A2"/>
    <w:rsid w:val="00370528"/>
    <w:rsid w:val="00370859"/>
    <w:rsid w:val="0037183F"/>
    <w:rsid w:val="00371944"/>
    <w:rsid w:val="00371AEC"/>
    <w:rsid w:val="0037237D"/>
    <w:rsid w:val="00374654"/>
    <w:rsid w:val="00374C59"/>
    <w:rsid w:val="003754BA"/>
    <w:rsid w:val="003759A1"/>
    <w:rsid w:val="00375D21"/>
    <w:rsid w:val="00375EF5"/>
    <w:rsid w:val="003761C4"/>
    <w:rsid w:val="00376EE6"/>
    <w:rsid w:val="00377A1F"/>
    <w:rsid w:val="0038019E"/>
    <w:rsid w:val="00380981"/>
    <w:rsid w:val="003813F7"/>
    <w:rsid w:val="00381684"/>
    <w:rsid w:val="00382989"/>
    <w:rsid w:val="00382B21"/>
    <w:rsid w:val="00383208"/>
    <w:rsid w:val="003838A1"/>
    <w:rsid w:val="00383E04"/>
    <w:rsid w:val="003851C7"/>
    <w:rsid w:val="00385368"/>
    <w:rsid w:val="0038658E"/>
    <w:rsid w:val="00386DDA"/>
    <w:rsid w:val="00387A2B"/>
    <w:rsid w:val="00390510"/>
    <w:rsid w:val="00390BB4"/>
    <w:rsid w:val="003911A5"/>
    <w:rsid w:val="003920EF"/>
    <w:rsid w:val="00392346"/>
    <w:rsid w:val="003929E6"/>
    <w:rsid w:val="00393F94"/>
    <w:rsid w:val="00394899"/>
    <w:rsid w:val="00395462"/>
    <w:rsid w:val="00395C0B"/>
    <w:rsid w:val="0039614C"/>
    <w:rsid w:val="00396614"/>
    <w:rsid w:val="00397206"/>
    <w:rsid w:val="00397CEC"/>
    <w:rsid w:val="00397F09"/>
    <w:rsid w:val="003A02BE"/>
    <w:rsid w:val="003A08F6"/>
    <w:rsid w:val="003A17BD"/>
    <w:rsid w:val="003A19AB"/>
    <w:rsid w:val="003A1DF7"/>
    <w:rsid w:val="003A2B85"/>
    <w:rsid w:val="003A3942"/>
    <w:rsid w:val="003A3AEC"/>
    <w:rsid w:val="003A467D"/>
    <w:rsid w:val="003A5918"/>
    <w:rsid w:val="003A63A8"/>
    <w:rsid w:val="003A6C1D"/>
    <w:rsid w:val="003A78F3"/>
    <w:rsid w:val="003B0400"/>
    <w:rsid w:val="003B2B5C"/>
    <w:rsid w:val="003B3287"/>
    <w:rsid w:val="003B3973"/>
    <w:rsid w:val="003B4217"/>
    <w:rsid w:val="003B4D0B"/>
    <w:rsid w:val="003B53AC"/>
    <w:rsid w:val="003B560F"/>
    <w:rsid w:val="003B6399"/>
    <w:rsid w:val="003C0D6A"/>
    <w:rsid w:val="003C0D7B"/>
    <w:rsid w:val="003C0FB9"/>
    <w:rsid w:val="003C168C"/>
    <w:rsid w:val="003C209A"/>
    <w:rsid w:val="003C20E0"/>
    <w:rsid w:val="003C2DD3"/>
    <w:rsid w:val="003C303F"/>
    <w:rsid w:val="003C338B"/>
    <w:rsid w:val="003C37F1"/>
    <w:rsid w:val="003C3951"/>
    <w:rsid w:val="003C3E6F"/>
    <w:rsid w:val="003C4117"/>
    <w:rsid w:val="003C4D70"/>
    <w:rsid w:val="003C51D3"/>
    <w:rsid w:val="003C5975"/>
    <w:rsid w:val="003C5B61"/>
    <w:rsid w:val="003C64FF"/>
    <w:rsid w:val="003C773C"/>
    <w:rsid w:val="003D050C"/>
    <w:rsid w:val="003D0804"/>
    <w:rsid w:val="003D1490"/>
    <w:rsid w:val="003D155B"/>
    <w:rsid w:val="003D1F3C"/>
    <w:rsid w:val="003D234D"/>
    <w:rsid w:val="003D28F5"/>
    <w:rsid w:val="003D2ABD"/>
    <w:rsid w:val="003D2D1B"/>
    <w:rsid w:val="003D325F"/>
    <w:rsid w:val="003D403A"/>
    <w:rsid w:val="003D4587"/>
    <w:rsid w:val="003D48A2"/>
    <w:rsid w:val="003D6732"/>
    <w:rsid w:val="003D7250"/>
    <w:rsid w:val="003D76EE"/>
    <w:rsid w:val="003E0E2C"/>
    <w:rsid w:val="003E1A9F"/>
    <w:rsid w:val="003E1EE8"/>
    <w:rsid w:val="003E2AD9"/>
    <w:rsid w:val="003E2DB7"/>
    <w:rsid w:val="003E32DE"/>
    <w:rsid w:val="003E3472"/>
    <w:rsid w:val="003E3E25"/>
    <w:rsid w:val="003E476E"/>
    <w:rsid w:val="003E49B2"/>
    <w:rsid w:val="003E4C9D"/>
    <w:rsid w:val="003E5859"/>
    <w:rsid w:val="003E676B"/>
    <w:rsid w:val="003E69D1"/>
    <w:rsid w:val="003E788D"/>
    <w:rsid w:val="003E7939"/>
    <w:rsid w:val="003F0A79"/>
    <w:rsid w:val="003F1084"/>
    <w:rsid w:val="003F1653"/>
    <w:rsid w:val="003F2171"/>
    <w:rsid w:val="003F27C8"/>
    <w:rsid w:val="003F28D0"/>
    <w:rsid w:val="003F33E4"/>
    <w:rsid w:val="003F400E"/>
    <w:rsid w:val="003F40EE"/>
    <w:rsid w:val="003F46D5"/>
    <w:rsid w:val="003F5196"/>
    <w:rsid w:val="003F57B2"/>
    <w:rsid w:val="003F5841"/>
    <w:rsid w:val="003F5B5D"/>
    <w:rsid w:val="003F5C24"/>
    <w:rsid w:val="003F6C74"/>
    <w:rsid w:val="004007E5"/>
    <w:rsid w:val="0040274D"/>
    <w:rsid w:val="0040363B"/>
    <w:rsid w:val="0040414E"/>
    <w:rsid w:val="004045E7"/>
    <w:rsid w:val="00404BAB"/>
    <w:rsid w:val="00404F5A"/>
    <w:rsid w:val="004052A0"/>
    <w:rsid w:val="004056FD"/>
    <w:rsid w:val="00406A74"/>
    <w:rsid w:val="00407755"/>
    <w:rsid w:val="004077AD"/>
    <w:rsid w:val="0041001E"/>
    <w:rsid w:val="00410667"/>
    <w:rsid w:val="004108BE"/>
    <w:rsid w:val="00410F6A"/>
    <w:rsid w:val="0041288C"/>
    <w:rsid w:val="00414C97"/>
    <w:rsid w:val="004154AF"/>
    <w:rsid w:val="004157B9"/>
    <w:rsid w:val="00415CAA"/>
    <w:rsid w:val="0041677B"/>
    <w:rsid w:val="00416C7D"/>
    <w:rsid w:val="00417111"/>
    <w:rsid w:val="00417DA6"/>
    <w:rsid w:val="004211BD"/>
    <w:rsid w:val="00421AD9"/>
    <w:rsid w:val="00422853"/>
    <w:rsid w:val="00422DD8"/>
    <w:rsid w:val="004234D4"/>
    <w:rsid w:val="00424BD7"/>
    <w:rsid w:val="00424DF0"/>
    <w:rsid w:val="0042558D"/>
    <w:rsid w:val="00425C8B"/>
    <w:rsid w:val="00425F4B"/>
    <w:rsid w:val="00427475"/>
    <w:rsid w:val="004279D0"/>
    <w:rsid w:val="00430964"/>
    <w:rsid w:val="00430BA3"/>
    <w:rsid w:val="0043129A"/>
    <w:rsid w:val="00431A01"/>
    <w:rsid w:val="00431B05"/>
    <w:rsid w:val="0043246F"/>
    <w:rsid w:val="00432E87"/>
    <w:rsid w:val="00433001"/>
    <w:rsid w:val="00433182"/>
    <w:rsid w:val="00433722"/>
    <w:rsid w:val="00434E60"/>
    <w:rsid w:val="00435292"/>
    <w:rsid w:val="0043576E"/>
    <w:rsid w:val="00435F33"/>
    <w:rsid w:val="00436102"/>
    <w:rsid w:val="00436454"/>
    <w:rsid w:val="0043680B"/>
    <w:rsid w:val="00436F10"/>
    <w:rsid w:val="004373C4"/>
    <w:rsid w:val="00437623"/>
    <w:rsid w:val="00437CFD"/>
    <w:rsid w:val="00437FE6"/>
    <w:rsid w:val="0044019B"/>
    <w:rsid w:val="00440298"/>
    <w:rsid w:val="00441B77"/>
    <w:rsid w:val="00442A6C"/>
    <w:rsid w:val="00443E20"/>
    <w:rsid w:val="00444039"/>
    <w:rsid w:val="00444411"/>
    <w:rsid w:val="004447FF"/>
    <w:rsid w:val="00444BDC"/>
    <w:rsid w:val="00445193"/>
    <w:rsid w:val="004451B4"/>
    <w:rsid w:val="004458B3"/>
    <w:rsid w:val="00447330"/>
    <w:rsid w:val="00450EC8"/>
    <w:rsid w:val="00451AF6"/>
    <w:rsid w:val="0045361E"/>
    <w:rsid w:val="0045367B"/>
    <w:rsid w:val="00453A06"/>
    <w:rsid w:val="004544F8"/>
    <w:rsid w:val="0045490A"/>
    <w:rsid w:val="00454B88"/>
    <w:rsid w:val="00454D56"/>
    <w:rsid w:val="00454D9F"/>
    <w:rsid w:val="00455AE9"/>
    <w:rsid w:val="00455B24"/>
    <w:rsid w:val="00455FE9"/>
    <w:rsid w:val="00456466"/>
    <w:rsid w:val="00456A81"/>
    <w:rsid w:val="00456E42"/>
    <w:rsid w:val="00457245"/>
    <w:rsid w:val="004577CB"/>
    <w:rsid w:val="00457E5B"/>
    <w:rsid w:val="0046297C"/>
    <w:rsid w:val="00463382"/>
    <w:rsid w:val="00463E5D"/>
    <w:rsid w:val="00464708"/>
    <w:rsid w:val="00464AC9"/>
    <w:rsid w:val="00465656"/>
    <w:rsid w:val="00465802"/>
    <w:rsid w:val="00465C72"/>
    <w:rsid w:val="00465EC0"/>
    <w:rsid w:val="004666A5"/>
    <w:rsid w:val="00466F68"/>
    <w:rsid w:val="004671E6"/>
    <w:rsid w:val="00467B0A"/>
    <w:rsid w:val="004700A8"/>
    <w:rsid w:val="0047070E"/>
    <w:rsid w:val="00470A42"/>
    <w:rsid w:val="00472A7D"/>
    <w:rsid w:val="00473867"/>
    <w:rsid w:val="004738CA"/>
    <w:rsid w:val="00473A39"/>
    <w:rsid w:val="0047416D"/>
    <w:rsid w:val="004741F9"/>
    <w:rsid w:val="00474CD6"/>
    <w:rsid w:val="00474EF6"/>
    <w:rsid w:val="004752CA"/>
    <w:rsid w:val="00475BC0"/>
    <w:rsid w:val="00476B36"/>
    <w:rsid w:val="004777C0"/>
    <w:rsid w:val="00477C22"/>
    <w:rsid w:val="00480624"/>
    <w:rsid w:val="00481A30"/>
    <w:rsid w:val="00482A2A"/>
    <w:rsid w:val="00482E8E"/>
    <w:rsid w:val="00482F3B"/>
    <w:rsid w:val="0048315E"/>
    <w:rsid w:val="00483449"/>
    <w:rsid w:val="004834DF"/>
    <w:rsid w:val="0048450A"/>
    <w:rsid w:val="00484F19"/>
    <w:rsid w:val="00486D2A"/>
    <w:rsid w:val="00490038"/>
    <w:rsid w:val="004909CD"/>
    <w:rsid w:val="0049144D"/>
    <w:rsid w:val="00491A8F"/>
    <w:rsid w:val="00491CEB"/>
    <w:rsid w:val="004923A5"/>
    <w:rsid w:val="00492C6B"/>
    <w:rsid w:val="00492E53"/>
    <w:rsid w:val="00493678"/>
    <w:rsid w:val="0049443E"/>
    <w:rsid w:val="00494972"/>
    <w:rsid w:val="004954EE"/>
    <w:rsid w:val="004954FB"/>
    <w:rsid w:val="004958AE"/>
    <w:rsid w:val="0049715B"/>
    <w:rsid w:val="00497593"/>
    <w:rsid w:val="00497EBD"/>
    <w:rsid w:val="004A0A73"/>
    <w:rsid w:val="004A1831"/>
    <w:rsid w:val="004A1D48"/>
    <w:rsid w:val="004A1F32"/>
    <w:rsid w:val="004A23D7"/>
    <w:rsid w:val="004A3399"/>
    <w:rsid w:val="004A34FB"/>
    <w:rsid w:val="004A3B53"/>
    <w:rsid w:val="004A4153"/>
    <w:rsid w:val="004A41FC"/>
    <w:rsid w:val="004A4B00"/>
    <w:rsid w:val="004A4C5A"/>
    <w:rsid w:val="004A5C99"/>
    <w:rsid w:val="004A63A0"/>
    <w:rsid w:val="004A66D9"/>
    <w:rsid w:val="004A79E5"/>
    <w:rsid w:val="004B1304"/>
    <w:rsid w:val="004B17C8"/>
    <w:rsid w:val="004B1A95"/>
    <w:rsid w:val="004B1C53"/>
    <w:rsid w:val="004B3B07"/>
    <w:rsid w:val="004B3F8C"/>
    <w:rsid w:val="004B4D6F"/>
    <w:rsid w:val="004B5293"/>
    <w:rsid w:val="004B539E"/>
    <w:rsid w:val="004B5D04"/>
    <w:rsid w:val="004B6184"/>
    <w:rsid w:val="004B69BB"/>
    <w:rsid w:val="004B6DA0"/>
    <w:rsid w:val="004B6FF7"/>
    <w:rsid w:val="004B776F"/>
    <w:rsid w:val="004B7CDB"/>
    <w:rsid w:val="004C035D"/>
    <w:rsid w:val="004C0D1F"/>
    <w:rsid w:val="004C129D"/>
    <w:rsid w:val="004C12C1"/>
    <w:rsid w:val="004C2203"/>
    <w:rsid w:val="004C2993"/>
    <w:rsid w:val="004C331A"/>
    <w:rsid w:val="004C3ABF"/>
    <w:rsid w:val="004C4809"/>
    <w:rsid w:val="004C4B45"/>
    <w:rsid w:val="004C4E0B"/>
    <w:rsid w:val="004C6F92"/>
    <w:rsid w:val="004C7688"/>
    <w:rsid w:val="004D037F"/>
    <w:rsid w:val="004D0CA0"/>
    <w:rsid w:val="004D0EA5"/>
    <w:rsid w:val="004D24B0"/>
    <w:rsid w:val="004D281A"/>
    <w:rsid w:val="004D369F"/>
    <w:rsid w:val="004D3946"/>
    <w:rsid w:val="004D3EA8"/>
    <w:rsid w:val="004D412A"/>
    <w:rsid w:val="004D535D"/>
    <w:rsid w:val="004D54C8"/>
    <w:rsid w:val="004D55E5"/>
    <w:rsid w:val="004D57B2"/>
    <w:rsid w:val="004D733C"/>
    <w:rsid w:val="004D75E1"/>
    <w:rsid w:val="004D7FB7"/>
    <w:rsid w:val="004E0B10"/>
    <w:rsid w:val="004E19CA"/>
    <w:rsid w:val="004E1ACE"/>
    <w:rsid w:val="004E1B43"/>
    <w:rsid w:val="004E2488"/>
    <w:rsid w:val="004E26E5"/>
    <w:rsid w:val="004E33E6"/>
    <w:rsid w:val="004E3572"/>
    <w:rsid w:val="004E3AAF"/>
    <w:rsid w:val="004E42E5"/>
    <w:rsid w:val="004E4830"/>
    <w:rsid w:val="004E49B9"/>
    <w:rsid w:val="004E56C2"/>
    <w:rsid w:val="004E5827"/>
    <w:rsid w:val="004E5AE1"/>
    <w:rsid w:val="004E5CEF"/>
    <w:rsid w:val="004E6284"/>
    <w:rsid w:val="004E669E"/>
    <w:rsid w:val="004E66CE"/>
    <w:rsid w:val="004E6ACB"/>
    <w:rsid w:val="004E7411"/>
    <w:rsid w:val="004E7D6E"/>
    <w:rsid w:val="004E7ED3"/>
    <w:rsid w:val="004F0AD8"/>
    <w:rsid w:val="004F0C51"/>
    <w:rsid w:val="004F0D26"/>
    <w:rsid w:val="004F2609"/>
    <w:rsid w:val="004F26F6"/>
    <w:rsid w:val="004F2A06"/>
    <w:rsid w:val="004F2A43"/>
    <w:rsid w:val="004F3CB5"/>
    <w:rsid w:val="004F4622"/>
    <w:rsid w:val="004F4F58"/>
    <w:rsid w:val="004F5C53"/>
    <w:rsid w:val="004F6CEF"/>
    <w:rsid w:val="004F701C"/>
    <w:rsid w:val="004F7071"/>
    <w:rsid w:val="004F757F"/>
    <w:rsid w:val="004F7BE1"/>
    <w:rsid w:val="004F7FAD"/>
    <w:rsid w:val="005000F5"/>
    <w:rsid w:val="0050050B"/>
    <w:rsid w:val="00501A4F"/>
    <w:rsid w:val="0050227F"/>
    <w:rsid w:val="0050240B"/>
    <w:rsid w:val="00502AB3"/>
    <w:rsid w:val="00502E91"/>
    <w:rsid w:val="0050318F"/>
    <w:rsid w:val="005035EB"/>
    <w:rsid w:val="00503ACD"/>
    <w:rsid w:val="00503E67"/>
    <w:rsid w:val="00504015"/>
    <w:rsid w:val="00504C85"/>
    <w:rsid w:val="00504F72"/>
    <w:rsid w:val="005053A8"/>
    <w:rsid w:val="0050561B"/>
    <w:rsid w:val="00505912"/>
    <w:rsid w:val="00506324"/>
    <w:rsid w:val="0050632F"/>
    <w:rsid w:val="00507168"/>
    <w:rsid w:val="00510CAF"/>
    <w:rsid w:val="0051153F"/>
    <w:rsid w:val="00511624"/>
    <w:rsid w:val="00511E22"/>
    <w:rsid w:val="00511FA4"/>
    <w:rsid w:val="00511FE6"/>
    <w:rsid w:val="00512290"/>
    <w:rsid w:val="00512366"/>
    <w:rsid w:val="0051245F"/>
    <w:rsid w:val="00513005"/>
    <w:rsid w:val="0051334E"/>
    <w:rsid w:val="00513762"/>
    <w:rsid w:val="0051376E"/>
    <w:rsid w:val="00513B56"/>
    <w:rsid w:val="00514617"/>
    <w:rsid w:val="00514BDF"/>
    <w:rsid w:val="005153F9"/>
    <w:rsid w:val="005155A6"/>
    <w:rsid w:val="00515DEC"/>
    <w:rsid w:val="00516184"/>
    <w:rsid w:val="00516FA1"/>
    <w:rsid w:val="005176B4"/>
    <w:rsid w:val="00517DE1"/>
    <w:rsid w:val="00520458"/>
    <w:rsid w:val="0052047D"/>
    <w:rsid w:val="00520568"/>
    <w:rsid w:val="005206C5"/>
    <w:rsid w:val="005208E0"/>
    <w:rsid w:val="0052273F"/>
    <w:rsid w:val="00522E54"/>
    <w:rsid w:val="00523B44"/>
    <w:rsid w:val="00523F70"/>
    <w:rsid w:val="0052459C"/>
    <w:rsid w:val="005245E1"/>
    <w:rsid w:val="005254D5"/>
    <w:rsid w:val="00525AB2"/>
    <w:rsid w:val="0053006D"/>
    <w:rsid w:val="005303B2"/>
    <w:rsid w:val="00531524"/>
    <w:rsid w:val="00531A45"/>
    <w:rsid w:val="005329C2"/>
    <w:rsid w:val="005337D4"/>
    <w:rsid w:val="00533B67"/>
    <w:rsid w:val="00534328"/>
    <w:rsid w:val="00535276"/>
    <w:rsid w:val="005360E7"/>
    <w:rsid w:val="005368EC"/>
    <w:rsid w:val="00537655"/>
    <w:rsid w:val="00540632"/>
    <w:rsid w:val="00540B30"/>
    <w:rsid w:val="00541296"/>
    <w:rsid w:val="005414DF"/>
    <w:rsid w:val="00541A03"/>
    <w:rsid w:val="005421CE"/>
    <w:rsid w:val="00543E0F"/>
    <w:rsid w:val="0054409D"/>
    <w:rsid w:val="0054499E"/>
    <w:rsid w:val="005454E8"/>
    <w:rsid w:val="00545DC5"/>
    <w:rsid w:val="00545F8F"/>
    <w:rsid w:val="005460B1"/>
    <w:rsid w:val="005467FD"/>
    <w:rsid w:val="00546E00"/>
    <w:rsid w:val="00547161"/>
    <w:rsid w:val="00547347"/>
    <w:rsid w:val="00547887"/>
    <w:rsid w:val="00547A73"/>
    <w:rsid w:val="00547F58"/>
    <w:rsid w:val="005509DA"/>
    <w:rsid w:val="00551F85"/>
    <w:rsid w:val="0055206D"/>
    <w:rsid w:val="00552534"/>
    <w:rsid w:val="00552D2C"/>
    <w:rsid w:val="005533C7"/>
    <w:rsid w:val="0055511E"/>
    <w:rsid w:val="00555454"/>
    <w:rsid w:val="005562DF"/>
    <w:rsid w:val="00556EDD"/>
    <w:rsid w:val="0056123F"/>
    <w:rsid w:val="00561C18"/>
    <w:rsid w:val="00563514"/>
    <w:rsid w:val="005637A4"/>
    <w:rsid w:val="005639BA"/>
    <w:rsid w:val="005641B2"/>
    <w:rsid w:val="00564BC2"/>
    <w:rsid w:val="00564D46"/>
    <w:rsid w:val="00566190"/>
    <w:rsid w:val="005666A1"/>
    <w:rsid w:val="005667B7"/>
    <w:rsid w:val="00566CF2"/>
    <w:rsid w:val="005674E0"/>
    <w:rsid w:val="00567671"/>
    <w:rsid w:val="00571A6A"/>
    <w:rsid w:val="00572663"/>
    <w:rsid w:val="00572787"/>
    <w:rsid w:val="00574A53"/>
    <w:rsid w:val="00574C98"/>
    <w:rsid w:val="00575577"/>
    <w:rsid w:val="00575935"/>
    <w:rsid w:val="005765EA"/>
    <w:rsid w:val="00577004"/>
    <w:rsid w:val="00577C0E"/>
    <w:rsid w:val="00577EA1"/>
    <w:rsid w:val="005800AF"/>
    <w:rsid w:val="00580E7C"/>
    <w:rsid w:val="00582426"/>
    <w:rsid w:val="005826C0"/>
    <w:rsid w:val="005831F3"/>
    <w:rsid w:val="005832D4"/>
    <w:rsid w:val="0058370A"/>
    <w:rsid w:val="0058439D"/>
    <w:rsid w:val="00585A38"/>
    <w:rsid w:val="00586161"/>
    <w:rsid w:val="00587834"/>
    <w:rsid w:val="005879B6"/>
    <w:rsid w:val="00590EE0"/>
    <w:rsid w:val="00592342"/>
    <w:rsid w:val="00592DB0"/>
    <w:rsid w:val="00592F6D"/>
    <w:rsid w:val="0059379B"/>
    <w:rsid w:val="00593B8B"/>
    <w:rsid w:val="00594050"/>
    <w:rsid w:val="00594B2E"/>
    <w:rsid w:val="00594F86"/>
    <w:rsid w:val="00595267"/>
    <w:rsid w:val="00595545"/>
    <w:rsid w:val="005A0607"/>
    <w:rsid w:val="005A194C"/>
    <w:rsid w:val="005A1E0F"/>
    <w:rsid w:val="005A31EF"/>
    <w:rsid w:val="005A36CA"/>
    <w:rsid w:val="005A3B5B"/>
    <w:rsid w:val="005A3E17"/>
    <w:rsid w:val="005A3F4C"/>
    <w:rsid w:val="005A3F7D"/>
    <w:rsid w:val="005A5017"/>
    <w:rsid w:val="005A50DD"/>
    <w:rsid w:val="005A523F"/>
    <w:rsid w:val="005A5DF7"/>
    <w:rsid w:val="005A5F09"/>
    <w:rsid w:val="005A78C7"/>
    <w:rsid w:val="005A7CC0"/>
    <w:rsid w:val="005B07C9"/>
    <w:rsid w:val="005B1027"/>
    <w:rsid w:val="005B19B5"/>
    <w:rsid w:val="005B1A84"/>
    <w:rsid w:val="005B1D23"/>
    <w:rsid w:val="005B2264"/>
    <w:rsid w:val="005B29E0"/>
    <w:rsid w:val="005B2C2B"/>
    <w:rsid w:val="005B2CCD"/>
    <w:rsid w:val="005B2EE5"/>
    <w:rsid w:val="005B33F2"/>
    <w:rsid w:val="005B358D"/>
    <w:rsid w:val="005B48D3"/>
    <w:rsid w:val="005B4C80"/>
    <w:rsid w:val="005B51C3"/>
    <w:rsid w:val="005B79AA"/>
    <w:rsid w:val="005C0BA1"/>
    <w:rsid w:val="005C0CB7"/>
    <w:rsid w:val="005C1E10"/>
    <w:rsid w:val="005C2336"/>
    <w:rsid w:val="005C2BD0"/>
    <w:rsid w:val="005C36CC"/>
    <w:rsid w:val="005C4F74"/>
    <w:rsid w:val="005C5383"/>
    <w:rsid w:val="005C55A3"/>
    <w:rsid w:val="005C5656"/>
    <w:rsid w:val="005C68C0"/>
    <w:rsid w:val="005C6BE3"/>
    <w:rsid w:val="005C6D8D"/>
    <w:rsid w:val="005C740C"/>
    <w:rsid w:val="005D0626"/>
    <w:rsid w:val="005D0AD7"/>
    <w:rsid w:val="005D0EFD"/>
    <w:rsid w:val="005D1692"/>
    <w:rsid w:val="005D2598"/>
    <w:rsid w:val="005D3B6B"/>
    <w:rsid w:val="005D3D0B"/>
    <w:rsid w:val="005D5DFA"/>
    <w:rsid w:val="005D5E42"/>
    <w:rsid w:val="005D6665"/>
    <w:rsid w:val="005D66ED"/>
    <w:rsid w:val="005D67A6"/>
    <w:rsid w:val="005D6D13"/>
    <w:rsid w:val="005D748F"/>
    <w:rsid w:val="005E013F"/>
    <w:rsid w:val="005E1723"/>
    <w:rsid w:val="005E1FFB"/>
    <w:rsid w:val="005E2D40"/>
    <w:rsid w:val="005E3ABB"/>
    <w:rsid w:val="005E3C74"/>
    <w:rsid w:val="005E4085"/>
    <w:rsid w:val="005E43A8"/>
    <w:rsid w:val="005E470E"/>
    <w:rsid w:val="005E47A3"/>
    <w:rsid w:val="005E491F"/>
    <w:rsid w:val="005E4D09"/>
    <w:rsid w:val="005E4E8E"/>
    <w:rsid w:val="005E6093"/>
    <w:rsid w:val="005E62D3"/>
    <w:rsid w:val="005E6CE2"/>
    <w:rsid w:val="005E6FDB"/>
    <w:rsid w:val="005E7042"/>
    <w:rsid w:val="005E77D3"/>
    <w:rsid w:val="005F15D8"/>
    <w:rsid w:val="005F2296"/>
    <w:rsid w:val="005F23A5"/>
    <w:rsid w:val="005F284E"/>
    <w:rsid w:val="005F2D60"/>
    <w:rsid w:val="005F38AD"/>
    <w:rsid w:val="005F4AED"/>
    <w:rsid w:val="005F4BAB"/>
    <w:rsid w:val="005F4DBF"/>
    <w:rsid w:val="005F5E9E"/>
    <w:rsid w:val="005F6106"/>
    <w:rsid w:val="005F7510"/>
    <w:rsid w:val="005F7A3E"/>
    <w:rsid w:val="006001E7"/>
    <w:rsid w:val="0060091E"/>
    <w:rsid w:val="006019E9"/>
    <w:rsid w:val="00601F9D"/>
    <w:rsid w:val="006023FC"/>
    <w:rsid w:val="00602DF4"/>
    <w:rsid w:val="0060308C"/>
    <w:rsid w:val="006032A7"/>
    <w:rsid w:val="00603AA0"/>
    <w:rsid w:val="00603DAE"/>
    <w:rsid w:val="006045FE"/>
    <w:rsid w:val="006046E5"/>
    <w:rsid w:val="00604AC9"/>
    <w:rsid w:val="00605C46"/>
    <w:rsid w:val="0060606D"/>
    <w:rsid w:val="00606425"/>
    <w:rsid w:val="0060690E"/>
    <w:rsid w:val="0060786D"/>
    <w:rsid w:val="006104E2"/>
    <w:rsid w:val="0061072A"/>
    <w:rsid w:val="0061107C"/>
    <w:rsid w:val="00611189"/>
    <w:rsid w:val="00611287"/>
    <w:rsid w:val="00611714"/>
    <w:rsid w:val="00611715"/>
    <w:rsid w:val="00611855"/>
    <w:rsid w:val="00611B38"/>
    <w:rsid w:val="006122C1"/>
    <w:rsid w:val="006136B7"/>
    <w:rsid w:val="006136FD"/>
    <w:rsid w:val="00613724"/>
    <w:rsid w:val="00613CF3"/>
    <w:rsid w:val="0061446B"/>
    <w:rsid w:val="0061478D"/>
    <w:rsid w:val="00615302"/>
    <w:rsid w:val="006155C4"/>
    <w:rsid w:val="006166E9"/>
    <w:rsid w:val="0061726A"/>
    <w:rsid w:val="006178C6"/>
    <w:rsid w:val="00617F52"/>
    <w:rsid w:val="006209A8"/>
    <w:rsid w:val="00620BA3"/>
    <w:rsid w:val="00620D74"/>
    <w:rsid w:val="0062130E"/>
    <w:rsid w:val="00621318"/>
    <w:rsid w:val="006224C1"/>
    <w:rsid w:val="006227DA"/>
    <w:rsid w:val="006227E2"/>
    <w:rsid w:val="00622C55"/>
    <w:rsid w:val="00623DF9"/>
    <w:rsid w:val="006245CF"/>
    <w:rsid w:val="00624960"/>
    <w:rsid w:val="00624E2C"/>
    <w:rsid w:val="00624F02"/>
    <w:rsid w:val="00625A03"/>
    <w:rsid w:val="00625B2F"/>
    <w:rsid w:val="00626187"/>
    <w:rsid w:val="00626984"/>
    <w:rsid w:val="00626C24"/>
    <w:rsid w:val="006271D9"/>
    <w:rsid w:val="00627F32"/>
    <w:rsid w:val="0063084D"/>
    <w:rsid w:val="006308F0"/>
    <w:rsid w:val="0063091A"/>
    <w:rsid w:val="00630BB7"/>
    <w:rsid w:val="00631186"/>
    <w:rsid w:val="00631339"/>
    <w:rsid w:val="006313F5"/>
    <w:rsid w:val="0063193D"/>
    <w:rsid w:val="00632061"/>
    <w:rsid w:val="00632592"/>
    <w:rsid w:val="00632655"/>
    <w:rsid w:val="00632745"/>
    <w:rsid w:val="006333A3"/>
    <w:rsid w:val="00633683"/>
    <w:rsid w:val="006346B7"/>
    <w:rsid w:val="00634865"/>
    <w:rsid w:val="00635631"/>
    <w:rsid w:val="00635980"/>
    <w:rsid w:val="00636477"/>
    <w:rsid w:val="00636B38"/>
    <w:rsid w:val="006373C5"/>
    <w:rsid w:val="00637486"/>
    <w:rsid w:val="006376ED"/>
    <w:rsid w:val="0063777F"/>
    <w:rsid w:val="00640734"/>
    <w:rsid w:val="006408FB"/>
    <w:rsid w:val="00640C20"/>
    <w:rsid w:val="00641B34"/>
    <w:rsid w:val="00642430"/>
    <w:rsid w:val="006425E4"/>
    <w:rsid w:val="0064260A"/>
    <w:rsid w:val="006453C5"/>
    <w:rsid w:val="006458EC"/>
    <w:rsid w:val="00645F23"/>
    <w:rsid w:val="00646B3D"/>
    <w:rsid w:val="00646C1B"/>
    <w:rsid w:val="00647477"/>
    <w:rsid w:val="00647EB3"/>
    <w:rsid w:val="00651138"/>
    <w:rsid w:val="006511A3"/>
    <w:rsid w:val="00651807"/>
    <w:rsid w:val="00651A62"/>
    <w:rsid w:val="006520A7"/>
    <w:rsid w:val="00653100"/>
    <w:rsid w:val="006535F3"/>
    <w:rsid w:val="006550B5"/>
    <w:rsid w:val="006561D7"/>
    <w:rsid w:val="0065633E"/>
    <w:rsid w:val="006566F6"/>
    <w:rsid w:val="00656A22"/>
    <w:rsid w:val="00656C30"/>
    <w:rsid w:val="00657D09"/>
    <w:rsid w:val="00660FB3"/>
    <w:rsid w:val="006610A6"/>
    <w:rsid w:val="006613E6"/>
    <w:rsid w:val="00661C98"/>
    <w:rsid w:val="00661E38"/>
    <w:rsid w:val="0066237F"/>
    <w:rsid w:val="00662E47"/>
    <w:rsid w:val="00663B82"/>
    <w:rsid w:val="00663BF7"/>
    <w:rsid w:val="00663EDB"/>
    <w:rsid w:val="00664219"/>
    <w:rsid w:val="00664482"/>
    <w:rsid w:val="0066598D"/>
    <w:rsid w:val="006659BE"/>
    <w:rsid w:val="00665E7A"/>
    <w:rsid w:val="00666C63"/>
    <w:rsid w:val="00666E11"/>
    <w:rsid w:val="00670201"/>
    <w:rsid w:val="00670A6D"/>
    <w:rsid w:val="00671EF5"/>
    <w:rsid w:val="00673610"/>
    <w:rsid w:val="00675797"/>
    <w:rsid w:val="00675919"/>
    <w:rsid w:val="006764B3"/>
    <w:rsid w:val="0068029C"/>
    <w:rsid w:val="0068062F"/>
    <w:rsid w:val="00680F24"/>
    <w:rsid w:val="00681447"/>
    <w:rsid w:val="00681683"/>
    <w:rsid w:val="00681700"/>
    <w:rsid w:val="00683FDC"/>
    <w:rsid w:val="006847AF"/>
    <w:rsid w:val="00685AF2"/>
    <w:rsid w:val="00685B20"/>
    <w:rsid w:val="00687AFB"/>
    <w:rsid w:val="00687E61"/>
    <w:rsid w:val="00690064"/>
    <w:rsid w:val="006905C6"/>
    <w:rsid w:val="006907C5"/>
    <w:rsid w:val="00690A19"/>
    <w:rsid w:val="0069109A"/>
    <w:rsid w:val="00691446"/>
    <w:rsid w:val="006917CD"/>
    <w:rsid w:val="00691B34"/>
    <w:rsid w:val="00691DFE"/>
    <w:rsid w:val="006924C1"/>
    <w:rsid w:val="00692780"/>
    <w:rsid w:val="00692A00"/>
    <w:rsid w:val="006934ED"/>
    <w:rsid w:val="00693548"/>
    <w:rsid w:val="00693595"/>
    <w:rsid w:val="00693928"/>
    <w:rsid w:val="006947A9"/>
    <w:rsid w:val="006949D2"/>
    <w:rsid w:val="00694C06"/>
    <w:rsid w:val="00694C5F"/>
    <w:rsid w:val="00695140"/>
    <w:rsid w:val="00696917"/>
    <w:rsid w:val="00697544"/>
    <w:rsid w:val="00697946"/>
    <w:rsid w:val="006A028F"/>
    <w:rsid w:val="006A0DE8"/>
    <w:rsid w:val="006A2333"/>
    <w:rsid w:val="006A23D3"/>
    <w:rsid w:val="006A38F5"/>
    <w:rsid w:val="006A4D43"/>
    <w:rsid w:val="006A6E1D"/>
    <w:rsid w:val="006A71A2"/>
    <w:rsid w:val="006A742B"/>
    <w:rsid w:val="006A77B9"/>
    <w:rsid w:val="006A7A0B"/>
    <w:rsid w:val="006B15F7"/>
    <w:rsid w:val="006B169E"/>
    <w:rsid w:val="006B1A42"/>
    <w:rsid w:val="006B1A89"/>
    <w:rsid w:val="006B2842"/>
    <w:rsid w:val="006B2E90"/>
    <w:rsid w:val="006B2E9F"/>
    <w:rsid w:val="006B32AB"/>
    <w:rsid w:val="006B388A"/>
    <w:rsid w:val="006B652D"/>
    <w:rsid w:val="006B65A7"/>
    <w:rsid w:val="006B682E"/>
    <w:rsid w:val="006B6C95"/>
    <w:rsid w:val="006B6F8B"/>
    <w:rsid w:val="006B7F66"/>
    <w:rsid w:val="006C209F"/>
    <w:rsid w:val="006C320A"/>
    <w:rsid w:val="006C32DC"/>
    <w:rsid w:val="006C3577"/>
    <w:rsid w:val="006C4BC8"/>
    <w:rsid w:val="006C4E53"/>
    <w:rsid w:val="006C56DA"/>
    <w:rsid w:val="006C5846"/>
    <w:rsid w:val="006C6511"/>
    <w:rsid w:val="006C655B"/>
    <w:rsid w:val="006C76FB"/>
    <w:rsid w:val="006D001F"/>
    <w:rsid w:val="006D1884"/>
    <w:rsid w:val="006D19FD"/>
    <w:rsid w:val="006D1A13"/>
    <w:rsid w:val="006D4362"/>
    <w:rsid w:val="006D49AC"/>
    <w:rsid w:val="006D4A96"/>
    <w:rsid w:val="006D4AA0"/>
    <w:rsid w:val="006D4C62"/>
    <w:rsid w:val="006D547A"/>
    <w:rsid w:val="006D5A84"/>
    <w:rsid w:val="006D5B3B"/>
    <w:rsid w:val="006D5C23"/>
    <w:rsid w:val="006D698F"/>
    <w:rsid w:val="006D6D66"/>
    <w:rsid w:val="006D712C"/>
    <w:rsid w:val="006D7ADA"/>
    <w:rsid w:val="006E1047"/>
    <w:rsid w:val="006E16AE"/>
    <w:rsid w:val="006E1820"/>
    <w:rsid w:val="006E29A5"/>
    <w:rsid w:val="006E3763"/>
    <w:rsid w:val="006E37A9"/>
    <w:rsid w:val="006E3A5D"/>
    <w:rsid w:val="006E43AD"/>
    <w:rsid w:val="006E45C9"/>
    <w:rsid w:val="006E4C13"/>
    <w:rsid w:val="006E638A"/>
    <w:rsid w:val="006E6A83"/>
    <w:rsid w:val="006E6BD0"/>
    <w:rsid w:val="006E7C12"/>
    <w:rsid w:val="006F07C5"/>
    <w:rsid w:val="006F0BE7"/>
    <w:rsid w:val="006F1312"/>
    <w:rsid w:val="006F1D3B"/>
    <w:rsid w:val="006F1D7D"/>
    <w:rsid w:val="006F1DDA"/>
    <w:rsid w:val="006F1EFB"/>
    <w:rsid w:val="006F265F"/>
    <w:rsid w:val="006F32B3"/>
    <w:rsid w:val="006F41C3"/>
    <w:rsid w:val="006F44B3"/>
    <w:rsid w:val="006F460E"/>
    <w:rsid w:val="006F4DBC"/>
    <w:rsid w:val="006F54CC"/>
    <w:rsid w:val="006F5528"/>
    <w:rsid w:val="006F552B"/>
    <w:rsid w:val="006F5782"/>
    <w:rsid w:val="006F5850"/>
    <w:rsid w:val="006F6039"/>
    <w:rsid w:val="006F6659"/>
    <w:rsid w:val="006F71DA"/>
    <w:rsid w:val="006F7E8D"/>
    <w:rsid w:val="007005DF"/>
    <w:rsid w:val="0070081B"/>
    <w:rsid w:val="0070113A"/>
    <w:rsid w:val="0070184A"/>
    <w:rsid w:val="00701A88"/>
    <w:rsid w:val="00701B21"/>
    <w:rsid w:val="007026D6"/>
    <w:rsid w:val="00702909"/>
    <w:rsid w:val="007032DC"/>
    <w:rsid w:val="00703E35"/>
    <w:rsid w:val="00704168"/>
    <w:rsid w:val="00704C82"/>
    <w:rsid w:val="00704E4F"/>
    <w:rsid w:val="00705989"/>
    <w:rsid w:val="00705BDB"/>
    <w:rsid w:val="00705C33"/>
    <w:rsid w:val="007105EE"/>
    <w:rsid w:val="007109B3"/>
    <w:rsid w:val="00710A63"/>
    <w:rsid w:val="00710C6F"/>
    <w:rsid w:val="00710E30"/>
    <w:rsid w:val="00711895"/>
    <w:rsid w:val="007130A0"/>
    <w:rsid w:val="00713159"/>
    <w:rsid w:val="007133FE"/>
    <w:rsid w:val="00713598"/>
    <w:rsid w:val="0071382D"/>
    <w:rsid w:val="00713A65"/>
    <w:rsid w:val="00714100"/>
    <w:rsid w:val="007142F6"/>
    <w:rsid w:val="007149A9"/>
    <w:rsid w:val="00714DD2"/>
    <w:rsid w:val="00715B0A"/>
    <w:rsid w:val="0071610F"/>
    <w:rsid w:val="00716880"/>
    <w:rsid w:val="00716AF5"/>
    <w:rsid w:val="007170CB"/>
    <w:rsid w:val="007200B1"/>
    <w:rsid w:val="00720B93"/>
    <w:rsid w:val="00721197"/>
    <w:rsid w:val="00721205"/>
    <w:rsid w:val="00721638"/>
    <w:rsid w:val="00721691"/>
    <w:rsid w:val="00721B73"/>
    <w:rsid w:val="00722486"/>
    <w:rsid w:val="00722C14"/>
    <w:rsid w:val="00723705"/>
    <w:rsid w:val="007238C7"/>
    <w:rsid w:val="00724AC4"/>
    <w:rsid w:val="00724C04"/>
    <w:rsid w:val="00724C3A"/>
    <w:rsid w:val="0072534C"/>
    <w:rsid w:val="0072540F"/>
    <w:rsid w:val="00725702"/>
    <w:rsid w:val="00726775"/>
    <w:rsid w:val="00727C66"/>
    <w:rsid w:val="0073032D"/>
    <w:rsid w:val="00730BFB"/>
    <w:rsid w:val="00731535"/>
    <w:rsid w:val="00731622"/>
    <w:rsid w:val="00731678"/>
    <w:rsid w:val="00732242"/>
    <w:rsid w:val="00732754"/>
    <w:rsid w:val="00733BB7"/>
    <w:rsid w:val="00737584"/>
    <w:rsid w:val="007377F9"/>
    <w:rsid w:val="00737AC2"/>
    <w:rsid w:val="00741174"/>
    <w:rsid w:val="00741185"/>
    <w:rsid w:val="00741476"/>
    <w:rsid w:val="00741869"/>
    <w:rsid w:val="00741A0D"/>
    <w:rsid w:val="0074205F"/>
    <w:rsid w:val="0074248F"/>
    <w:rsid w:val="007428D4"/>
    <w:rsid w:val="00742B89"/>
    <w:rsid w:val="0074383C"/>
    <w:rsid w:val="0074418E"/>
    <w:rsid w:val="00744662"/>
    <w:rsid w:val="00744948"/>
    <w:rsid w:val="00745A36"/>
    <w:rsid w:val="007464DE"/>
    <w:rsid w:val="0074784F"/>
    <w:rsid w:val="007479EF"/>
    <w:rsid w:val="00750388"/>
    <w:rsid w:val="00750441"/>
    <w:rsid w:val="00750B87"/>
    <w:rsid w:val="00750BBA"/>
    <w:rsid w:val="00751E0A"/>
    <w:rsid w:val="00752B7D"/>
    <w:rsid w:val="00752BD0"/>
    <w:rsid w:val="00753014"/>
    <w:rsid w:val="00753325"/>
    <w:rsid w:val="00753575"/>
    <w:rsid w:val="0075401E"/>
    <w:rsid w:val="00754057"/>
    <w:rsid w:val="0075426C"/>
    <w:rsid w:val="007549D5"/>
    <w:rsid w:val="00754C00"/>
    <w:rsid w:val="007558B2"/>
    <w:rsid w:val="00755922"/>
    <w:rsid w:val="00755C4F"/>
    <w:rsid w:val="00755D63"/>
    <w:rsid w:val="0075620D"/>
    <w:rsid w:val="007562A4"/>
    <w:rsid w:val="0075669C"/>
    <w:rsid w:val="00756949"/>
    <w:rsid w:val="00756EA1"/>
    <w:rsid w:val="007577E3"/>
    <w:rsid w:val="00757AFA"/>
    <w:rsid w:val="00757CF9"/>
    <w:rsid w:val="00760556"/>
    <w:rsid w:val="00760A76"/>
    <w:rsid w:val="00760B57"/>
    <w:rsid w:val="0076168A"/>
    <w:rsid w:val="00761785"/>
    <w:rsid w:val="007618BB"/>
    <w:rsid w:val="0076191A"/>
    <w:rsid w:val="0076244C"/>
    <w:rsid w:val="00762695"/>
    <w:rsid w:val="00762831"/>
    <w:rsid w:val="00763581"/>
    <w:rsid w:val="00763A58"/>
    <w:rsid w:val="00763F19"/>
    <w:rsid w:val="0076463A"/>
    <w:rsid w:val="007651E9"/>
    <w:rsid w:val="007665A0"/>
    <w:rsid w:val="007679CC"/>
    <w:rsid w:val="00767B6E"/>
    <w:rsid w:val="00770433"/>
    <w:rsid w:val="007716FE"/>
    <w:rsid w:val="00771D68"/>
    <w:rsid w:val="007720E2"/>
    <w:rsid w:val="007726E3"/>
    <w:rsid w:val="007730AD"/>
    <w:rsid w:val="00773DB2"/>
    <w:rsid w:val="007741C6"/>
    <w:rsid w:val="00774760"/>
    <w:rsid w:val="00774FD6"/>
    <w:rsid w:val="007750A8"/>
    <w:rsid w:val="00775C6A"/>
    <w:rsid w:val="00776C6B"/>
    <w:rsid w:val="00777FC8"/>
    <w:rsid w:val="0078088D"/>
    <w:rsid w:val="00780C10"/>
    <w:rsid w:val="00781422"/>
    <w:rsid w:val="0078180D"/>
    <w:rsid w:val="00782936"/>
    <w:rsid w:val="00782C2E"/>
    <w:rsid w:val="00782CB2"/>
    <w:rsid w:val="00782E60"/>
    <w:rsid w:val="00783131"/>
    <w:rsid w:val="00783607"/>
    <w:rsid w:val="00783B67"/>
    <w:rsid w:val="007840C8"/>
    <w:rsid w:val="0078428E"/>
    <w:rsid w:val="00784F7E"/>
    <w:rsid w:val="00785371"/>
    <w:rsid w:val="00785485"/>
    <w:rsid w:val="00785826"/>
    <w:rsid w:val="00785922"/>
    <w:rsid w:val="007859CD"/>
    <w:rsid w:val="00785F2E"/>
    <w:rsid w:val="0078616D"/>
    <w:rsid w:val="00786446"/>
    <w:rsid w:val="00786F76"/>
    <w:rsid w:val="0078711C"/>
    <w:rsid w:val="00787F0D"/>
    <w:rsid w:val="007902A4"/>
    <w:rsid w:val="00790DCB"/>
    <w:rsid w:val="00791E78"/>
    <w:rsid w:val="00791F10"/>
    <w:rsid w:val="00792103"/>
    <w:rsid w:val="00792B66"/>
    <w:rsid w:val="007932FA"/>
    <w:rsid w:val="00793532"/>
    <w:rsid w:val="0079375D"/>
    <w:rsid w:val="00793B3F"/>
    <w:rsid w:val="00794187"/>
    <w:rsid w:val="00794E05"/>
    <w:rsid w:val="0079513D"/>
    <w:rsid w:val="00795274"/>
    <w:rsid w:val="0079537D"/>
    <w:rsid w:val="00795B9A"/>
    <w:rsid w:val="00796998"/>
    <w:rsid w:val="00796C04"/>
    <w:rsid w:val="007974D3"/>
    <w:rsid w:val="00797A95"/>
    <w:rsid w:val="00797DA6"/>
    <w:rsid w:val="007A02C8"/>
    <w:rsid w:val="007A092E"/>
    <w:rsid w:val="007A0EA7"/>
    <w:rsid w:val="007A17D9"/>
    <w:rsid w:val="007A1C1D"/>
    <w:rsid w:val="007A301D"/>
    <w:rsid w:val="007A30DC"/>
    <w:rsid w:val="007A3FAA"/>
    <w:rsid w:val="007A4149"/>
    <w:rsid w:val="007A4538"/>
    <w:rsid w:val="007A47E6"/>
    <w:rsid w:val="007A48C1"/>
    <w:rsid w:val="007A589A"/>
    <w:rsid w:val="007A6B9A"/>
    <w:rsid w:val="007A76CD"/>
    <w:rsid w:val="007B04D9"/>
    <w:rsid w:val="007B06C1"/>
    <w:rsid w:val="007B083C"/>
    <w:rsid w:val="007B0E7A"/>
    <w:rsid w:val="007B0EA0"/>
    <w:rsid w:val="007B112B"/>
    <w:rsid w:val="007B1340"/>
    <w:rsid w:val="007B15BE"/>
    <w:rsid w:val="007B2224"/>
    <w:rsid w:val="007B30FF"/>
    <w:rsid w:val="007B36AD"/>
    <w:rsid w:val="007B4E30"/>
    <w:rsid w:val="007B4FF3"/>
    <w:rsid w:val="007B5763"/>
    <w:rsid w:val="007B5907"/>
    <w:rsid w:val="007B5EBA"/>
    <w:rsid w:val="007B748C"/>
    <w:rsid w:val="007C04D7"/>
    <w:rsid w:val="007C1072"/>
    <w:rsid w:val="007C142A"/>
    <w:rsid w:val="007C1F67"/>
    <w:rsid w:val="007C35C3"/>
    <w:rsid w:val="007C3960"/>
    <w:rsid w:val="007C3C7A"/>
    <w:rsid w:val="007C418C"/>
    <w:rsid w:val="007C42BA"/>
    <w:rsid w:val="007C48DA"/>
    <w:rsid w:val="007C5125"/>
    <w:rsid w:val="007C573A"/>
    <w:rsid w:val="007C6182"/>
    <w:rsid w:val="007C65E8"/>
    <w:rsid w:val="007C752D"/>
    <w:rsid w:val="007D007F"/>
    <w:rsid w:val="007D07F3"/>
    <w:rsid w:val="007D1222"/>
    <w:rsid w:val="007D1DA4"/>
    <w:rsid w:val="007D244F"/>
    <w:rsid w:val="007D29A4"/>
    <w:rsid w:val="007D29D3"/>
    <w:rsid w:val="007D36A7"/>
    <w:rsid w:val="007D3827"/>
    <w:rsid w:val="007D3CD8"/>
    <w:rsid w:val="007D408C"/>
    <w:rsid w:val="007D425C"/>
    <w:rsid w:val="007D46CD"/>
    <w:rsid w:val="007D4C5A"/>
    <w:rsid w:val="007D50FF"/>
    <w:rsid w:val="007D5184"/>
    <w:rsid w:val="007D5D9F"/>
    <w:rsid w:val="007D69C0"/>
    <w:rsid w:val="007D6AB2"/>
    <w:rsid w:val="007E030B"/>
    <w:rsid w:val="007E0CD5"/>
    <w:rsid w:val="007E0FF8"/>
    <w:rsid w:val="007E1229"/>
    <w:rsid w:val="007E1778"/>
    <w:rsid w:val="007E239B"/>
    <w:rsid w:val="007E39ED"/>
    <w:rsid w:val="007E3BA0"/>
    <w:rsid w:val="007E3E99"/>
    <w:rsid w:val="007E451B"/>
    <w:rsid w:val="007E4946"/>
    <w:rsid w:val="007E4D95"/>
    <w:rsid w:val="007E4F1D"/>
    <w:rsid w:val="007E5A5B"/>
    <w:rsid w:val="007E60F0"/>
    <w:rsid w:val="007E6B4A"/>
    <w:rsid w:val="007E6F56"/>
    <w:rsid w:val="007E706F"/>
    <w:rsid w:val="007E707F"/>
    <w:rsid w:val="007E7F22"/>
    <w:rsid w:val="007F007B"/>
    <w:rsid w:val="007F0641"/>
    <w:rsid w:val="007F13B3"/>
    <w:rsid w:val="007F1411"/>
    <w:rsid w:val="007F1DA0"/>
    <w:rsid w:val="007F23CB"/>
    <w:rsid w:val="007F264F"/>
    <w:rsid w:val="007F2DAE"/>
    <w:rsid w:val="007F2F54"/>
    <w:rsid w:val="007F2F65"/>
    <w:rsid w:val="007F3038"/>
    <w:rsid w:val="007F30B6"/>
    <w:rsid w:val="007F37DF"/>
    <w:rsid w:val="007F4895"/>
    <w:rsid w:val="007F4A25"/>
    <w:rsid w:val="007F5819"/>
    <w:rsid w:val="007F58FB"/>
    <w:rsid w:val="007F6C1E"/>
    <w:rsid w:val="007F6D2F"/>
    <w:rsid w:val="007F7166"/>
    <w:rsid w:val="007F7507"/>
    <w:rsid w:val="007F7ACF"/>
    <w:rsid w:val="007F7C79"/>
    <w:rsid w:val="0080008D"/>
    <w:rsid w:val="008009F2"/>
    <w:rsid w:val="00800A28"/>
    <w:rsid w:val="00801748"/>
    <w:rsid w:val="00803FCE"/>
    <w:rsid w:val="00804E3F"/>
    <w:rsid w:val="00805060"/>
    <w:rsid w:val="00805483"/>
    <w:rsid w:val="008063E1"/>
    <w:rsid w:val="00807044"/>
    <w:rsid w:val="008072E4"/>
    <w:rsid w:val="00811086"/>
    <w:rsid w:val="008113CC"/>
    <w:rsid w:val="00812846"/>
    <w:rsid w:val="008128B7"/>
    <w:rsid w:val="00812F87"/>
    <w:rsid w:val="00813605"/>
    <w:rsid w:val="00814AF7"/>
    <w:rsid w:val="00814C77"/>
    <w:rsid w:val="00816069"/>
    <w:rsid w:val="00816F44"/>
    <w:rsid w:val="00816FCD"/>
    <w:rsid w:val="00817583"/>
    <w:rsid w:val="00820040"/>
    <w:rsid w:val="0082014E"/>
    <w:rsid w:val="00820A92"/>
    <w:rsid w:val="008218D0"/>
    <w:rsid w:val="00821AC0"/>
    <w:rsid w:val="008223B3"/>
    <w:rsid w:val="008224A7"/>
    <w:rsid w:val="00822B1E"/>
    <w:rsid w:val="00823A8A"/>
    <w:rsid w:val="00823AFD"/>
    <w:rsid w:val="00823B4B"/>
    <w:rsid w:val="00823F36"/>
    <w:rsid w:val="008251CF"/>
    <w:rsid w:val="00826103"/>
    <w:rsid w:val="00826668"/>
    <w:rsid w:val="00826C8F"/>
    <w:rsid w:val="00826D96"/>
    <w:rsid w:val="00827AD4"/>
    <w:rsid w:val="0083166C"/>
    <w:rsid w:val="008316AC"/>
    <w:rsid w:val="008324AA"/>
    <w:rsid w:val="008331AD"/>
    <w:rsid w:val="008356BF"/>
    <w:rsid w:val="00836AD9"/>
    <w:rsid w:val="00836AF6"/>
    <w:rsid w:val="00837C97"/>
    <w:rsid w:val="00841B12"/>
    <w:rsid w:val="0084204F"/>
    <w:rsid w:val="00842C36"/>
    <w:rsid w:val="00844B0D"/>
    <w:rsid w:val="00844CCA"/>
    <w:rsid w:val="00844F46"/>
    <w:rsid w:val="00845478"/>
    <w:rsid w:val="008467A9"/>
    <w:rsid w:val="00846D31"/>
    <w:rsid w:val="00846F8E"/>
    <w:rsid w:val="00847B8D"/>
    <w:rsid w:val="00847C53"/>
    <w:rsid w:val="00847EDD"/>
    <w:rsid w:val="00850145"/>
    <w:rsid w:val="0085038F"/>
    <w:rsid w:val="008507DF"/>
    <w:rsid w:val="00850808"/>
    <w:rsid w:val="00850858"/>
    <w:rsid w:val="00850966"/>
    <w:rsid w:val="00850AEC"/>
    <w:rsid w:val="00850B85"/>
    <w:rsid w:val="00851B66"/>
    <w:rsid w:val="00851DF3"/>
    <w:rsid w:val="00852E60"/>
    <w:rsid w:val="00854062"/>
    <w:rsid w:val="00855089"/>
    <w:rsid w:val="0085575A"/>
    <w:rsid w:val="00855A02"/>
    <w:rsid w:val="008563F0"/>
    <w:rsid w:val="008575C8"/>
    <w:rsid w:val="00857AAF"/>
    <w:rsid w:val="0086070D"/>
    <w:rsid w:val="00861352"/>
    <w:rsid w:val="0086148E"/>
    <w:rsid w:val="00861921"/>
    <w:rsid w:val="008624C1"/>
    <w:rsid w:val="0086297B"/>
    <w:rsid w:val="0086397C"/>
    <w:rsid w:val="00864A8B"/>
    <w:rsid w:val="008658E9"/>
    <w:rsid w:val="00866FB6"/>
    <w:rsid w:val="0086715E"/>
    <w:rsid w:val="00867227"/>
    <w:rsid w:val="00867330"/>
    <w:rsid w:val="00867E22"/>
    <w:rsid w:val="0087023C"/>
    <w:rsid w:val="008702D2"/>
    <w:rsid w:val="0087096F"/>
    <w:rsid w:val="00871A3D"/>
    <w:rsid w:val="00871B62"/>
    <w:rsid w:val="00871F3E"/>
    <w:rsid w:val="00872341"/>
    <w:rsid w:val="00873322"/>
    <w:rsid w:val="00873734"/>
    <w:rsid w:val="008737C9"/>
    <w:rsid w:val="00873CE6"/>
    <w:rsid w:val="00873E56"/>
    <w:rsid w:val="00874E00"/>
    <w:rsid w:val="00875D05"/>
    <w:rsid w:val="00876108"/>
    <w:rsid w:val="00877494"/>
    <w:rsid w:val="00881208"/>
    <w:rsid w:val="0088132F"/>
    <w:rsid w:val="00881413"/>
    <w:rsid w:val="00881861"/>
    <w:rsid w:val="0088205C"/>
    <w:rsid w:val="00882775"/>
    <w:rsid w:val="00882854"/>
    <w:rsid w:val="00884075"/>
    <w:rsid w:val="00884ED0"/>
    <w:rsid w:val="00885C57"/>
    <w:rsid w:val="00886202"/>
    <w:rsid w:val="008863D0"/>
    <w:rsid w:val="00886559"/>
    <w:rsid w:val="008866B3"/>
    <w:rsid w:val="008866E3"/>
    <w:rsid w:val="008876CE"/>
    <w:rsid w:val="00887CD8"/>
    <w:rsid w:val="008904D4"/>
    <w:rsid w:val="0089177C"/>
    <w:rsid w:val="00891EC9"/>
    <w:rsid w:val="00892698"/>
    <w:rsid w:val="008928A7"/>
    <w:rsid w:val="00892DE1"/>
    <w:rsid w:val="0089322A"/>
    <w:rsid w:val="00893A9E"/>
    <w:rsid w:val="008942C0"/>
    <w:rsid w:val="008944F2"/>
    <w:rsid w:val="00894E2D"/>
    <w:rsid w:val="00895C38"/>
    <w:rsid w:val="008962EF"/>
    <w:rsid w:val="00896FBA"/>
    <w:rsid w:val="008975DD"/>
    <w:rsid w:val="008A095E"/>
    <w:rsid w:val="008A0AC1"/>
    <w:rsid w:val="008A0B82"/>
    <w:rsid w:val="008A0D2B"/>
    <w:rsid w:val="008A0D58"/>
    <w:rsid w:val="008A1499"/>
    <w:rsid w:val="008A29DB"/>
    <w:rsid w:val="008A2E42"/>
    <w:rsid w:val="008A2EC4"/>
    <w:rsid w:val="008A3A44"/>
    <w:rsid w:val="008A4962"/>
    <w:rsid w:val="008A4C71"/>
    <w:rsid w:val="008A4FEF"/>
    <w:rsid w:val="008A526B"/>
    <w:rsid w:val="008A5607"/>
    <w:rsid w:val="008A5A7E"/>
    <w:rsid w:val="008A5F8E"/>
    <w:rsid w:val="008A68B9"/>
    <w:rsid w:val="008A6BFF"/>
    <w:rsid w:val="008A745F"/>
    <w:rsid w:val="008A74F3"/>
    <w:rsid w:val="008B0203"/>
    <w:rsid w:val="008B047A"/>
    <w:rsid w:val="008B0AEC"/>
    <w:rsid w:val="008B0CDA"/>
    <w:rsid w:val="008B1A12"/>
    <w:rsid w:val="008B1BFB"/>
    <w:rsid w:val="008B2529"/>
    <w:rsid w:val="008B30A9"/>
    <w:rsid w:val="008B43E1"/>
    <w:rsid w:val="008B4798"/>
    <w:rsid w:val="008B4956"/>
    <w:rsid w:val="008B4A57"/>
    <w:rsid w:val="008B5599"/>
    <w:rsid w:val="008B60AB"/>
    <w:rsid w:val="008B6884"/>
    <w:rsid w:val="008B6C7E"/>
    <w:rsid w:val="008B6DDB"/>
    <w:rsid w:val="008B6E1B"/>
    <w:rsid w:val="008B71AB"/>
    <w:rsid w:val="008B74D9"/>
    <w:rsid w:val="008B7759"/>
    <w:rsid w:val="008B7C99"/>
    <w:rsid w:val="008B7D50"/>
    <w:rsid w:val="008C0129"/>
    <w:rsid w:val="008C08CD"/>
    <w:rsid w:val="008C091A"/>
    <w:rsid w:val="008C0B10"/>
    <w:rsid w:val="008C0B31"/>
    <w:rsid w:val="008C1BC5"/>
    <w:rsid w:val="008C1C2C"/>
    <w:rsid w:val="008C2F3C"/>
    <w:rsid w:val="008C32E0"/>
    <w:rsid w:val="008C33ED"/>
    <w:rsid w:val="008C3844"/>
    <w:rsid w:val="008C388C"/>
    <w:rsid w:val="008C4333"/>
    <w:rsid w:val="008C4A60"/>
    <w:rsid w:val="008C5A14"/>
    <w:rsid w:val="008C5B0F"/>
    <w:rsid w:val="008C5BC3"/>
    <w:rsid w:val="008C7786"/>
    <w:rsid w:val="008D0075"/>
    <w:rsid w:val="008D1935"/>
    <w:rsid w:val="008D1F1F"/>
    <w:rsid w:val="008D1FDF"/>
    <w:rsid w:val="008D2F42"/>
    <w:rsid w:val="008D3723"/>
    <w:rsid w:val="008D41FA"/>
    <w:rsid w:val="008D44C7"/>
    <w:rsid w:val="008D49F8"/>
    <w:rsid w:val="008D4AB4"/>
    <w:rsid w:val="008D5301"/>
    <w:rsid w:val="008D53A4"/>
    <w:rsid w:val="008D53AD"/>
    <w:rsid w:val="008D6124"/>
    <w:rsid w:val="008D67C7"/>
    <w:rsid w:val="008D7183"/>
    <w:rsid w:val="008D7C78"/>
    <w:rsid w:val="008E001E"/>
    <w:rsid w:val="008E056A"/>
    <w:rsid w:val="008E06AE"/>
    <w:rsid w:val="008E0FA2"/>
    <w:rsid w:val="008E2293"/>
    <w:rsid w:val="008E2962"/>
    <w:rsid w:val="008E29AA"/>
    <w:rsid w:val="008E4422"/>
    <w:rsid w:val="008E45CB"/>
    <w:rsid w:val="008E483E"/>
    <w:rsid w:val="008E5841"/>
    <w:rsid w:val="008E5B7F"/>
    <w:rsid w:val="008E61DC"/>
    <w:rsid w:val="008E61F7"/>
    <w:rsid w:val="008E7073"/>
    <w:rsid w:val="008E74B9"/>
    <w:rsid w:val="008F0529"/>
    <w:rsid w:val="008F1560"/>
    <w:rsid w:val="008F17FA"/>
    <w:rsid w:val="008F223F"/>
    <w:rsid w:val="008F276C"/>
    <w:rsid w:val="008F29E8"/>
    <w:rsid w:val="008F338F"/>
    <w:rsid w:val="008F401F"/>
    <w:rsid w:val="008F4F63"/>
    <w:rsid w:val="008F5276"/>
    <w:rsid w:val="008F57EE"/>
    <w:rsid w:val="008F772F"/>
    <w:rsid w:val="008F7760"/>
    <w:rsid w:val="008F7BC4"/>
    <w:rsid w:val="008F7C00"/>
    <w:rsid w:val="0090006B"/>
    <w:rsid w:val="0090117E"/>
    <w:rsid w:val="0090215A"/>
    <w:rsid w:val="009034C6"/>
    <w:rsid w:val="00903D92"/>
    <w:rsid w:val="00903FB5"/>
    <w:rsid w:val="00904429"/>
    <w:rsid w:val="00904E82"/>
    <w:rsid w:val="00905B6B"/>
    <w:rsid w:val="009062BE"/>
    <w:rsid w:val="009063C3"/>
    <w:rsid w:val="0090694A"/>
    <w:rsid w:val="009076C6"/>
    <w:rsid w:val="009078FC"/>
    <w:rsid w:val="00910869"/>
    <w:rsid w:val="00910B20"/>
    <w:rsid w:val="00910C9F"/>
    <w:rsid w:val="009111EB"/>
    <w:rsid w:val="00911A47"/>
    <w:rsid w:val="0091250A"/>
    <w:rsid w:val="00912B3F"/>
    <w:rsid w:val="009133EA"/>
    <w:rsid w:val="00913559"/>
    <w:rsid w:val="009135D6"/>
    <w:rsid w:val="00913B7E"/>
    <w:rsid w:val="0091511B"/>
    <w:rsid w:val="00916561"/>
    <w:rsid w:val="00917027"/>
    <w:rsid w:val="0091736E"/>
    <w:rsid w:val="009175A3"/>
    <w:rsid w:val="00917901"/>
    <w:rsid w:val="00917C5C"/>
    <w:rsid w:val="0092033A"/>
    <w:rsid w:val="00920C04"/>
    <w:rsid w:val="00920CE7"/>
    <w:rsid w:val="0092228F"/>
    <w:rsid w:val="00922816"/>
    <w:rsid w:val="0092293D"/>
    <w:rsid w:val="00922D14"/>
    <w:rsid w:val="00923488"/>
    <w:rsid w:val="00923B51"/>
    <w:rsid w:val="00923E0C"/>
    <w:rsid w:val="0092407F"/>
    <w:rsid w:val="00924C57"/>
    <w:rsid w:val="00925023"/>
    <w:rsid w:val="0092515F"/>
    <w:rsid w:val="009252D3"/>
    <w:rsid w:val="0092571D"/>
    <w:rsid w:val="00927449"/>
    <w:rsid w:val="009275DC"/>
    <w:rsid w:val="0092793E"/>
    <w:rsid w:val="00930034"/>
    <w:rsid w:val="009303B4"/>
    <w:rsid w:val="00930B3D"/>
    <w:rsid w:val="009312F8"/>
    <w:rsid w:val="009314F1"/>
    <w:rsid w:val="00931D3E"/>
    <w:rsid w:val="00931F7D"/>
    <w:rsid w:val="00932352"/>
    <w:rsid w:val="0093279B"/>
    <w:rsid w:val="00933B20"/>
    <w:rsid w:val="00935BDA"/>
    <w:rsid w:val="00937E88"/>
    <w:rsid w:val="00937F7E"/>
    <w:rsid w:val="00941ED0"/>
    <w:rsid w:val="009421FB"/>
    <w:rsid w:val="00942B44"/>
    <w:rsid w:val="0094317E"/>
    <w:rsid w:val="0094372F"/>
    <w:rsid w:val="00943DE6"/>
    <w:rsid w:val="00943FC2"/>
    <w:rsid w:val="00944AB5"/>
    <w:rsid w:val="00945B41"/>
    <w:rsid w:val="00950312"/>
    <w:rsid w:val="00952134"/>
    <w:rsid w:val="00952DC6"/>
    <w:rsid w:val="00953B52"/>
    <w:rsid w:val="00954035"/>
    <w:rsid w:val="0095416F"/>
    <w:rsid w:val="0095449F"/>
    <w:rsid w:val="00954607"/>
    <w:rsid w:val="009551BD"/>
    <w:rsid w:val="0095538F"/>
    <w:rsid w:val="00955659"/>
    <w:rsid w:val="00955AF6"/>
    <w:rsid w:val="009564A7"/>
    <w:rsid w:val="009568F0"/>
    <w:rsid w:val="00956C79"/>
    <w:rsid w:val="00957397"/>
    <w:rsid w:val="00957A0B"/>
    <w:rsid w:val="00957EC3"/>
    <w:rsid w:val="00960175"/>
    <w:rsid w:val="00960545"/>
    <w:rsid w:val="0096070E"/>
    <w:rsid w:val="00961634"/>
    <w:rsid w:val="00961850"/>
    <w:rsid w:val="00961953"/>
    <w:rsid w:val="009619B1"/>
    <w:rsid w:val="00961C06"/>
    <w:rsid w:val="009621D7"/>
    <w:rsid w:val="00962437"/>
    <w:rsid w:val="009627BC"/>
    <w:rsid w:val="00962A25"/>
    <w:rsid w:val="00962B0A"/>
    <w:rsid w:val="0096354A"/>
    <w:rsid w:val="0096575E"/>
    <w:rsid w:val="00966104"/>
    <w:rsid w:val="009661B5"/>
    <w:rsid w:val="009663E7"/>
    <w:rsid w:val="009666A7"/>
    <w:rsid w:val="009673A4"/>
    <w:rsid w:val="009673C7"/>
    <w:rsid w:val="0097048D"/>
    <w:rsid w:val="00971D2B"/>
    <w:rsid w:val="00971EBE"/>
    <w:rsid w:val="00972718"/>
    <w:rsid w:val="0097292C"/>
    <w:rsid w:val="00972ACD"/>
    <w:rsid w:val="009735A4"/>
    <w:rsid w:val="00973C43"/>
    <w:rsid w:val="00974A21"/>
    <w:rsid w:val="00974B8B"/>
    <w:rsid w:val="00976DCC"/>
    <w:rsid w:val="0097753A"/>
    <w:rsid w:val="00977987"/>
    <w:rsid w:val="00977BE7"/>
    <w:rsid w:val="00977E3C"/>
    <w:rsid w:val="0098068B"/>
    <w:rsid w:val="00981A5A"/>
    <w:rsid w:val="009821C9"/>
    <w:rsid w:val="009833D8"/>
    <w:rsid w:val="009837B2"/>
    <w:rsid w:val="00984757"/>
    <w:rsid w:val="0098483B"/>
    <w:rsid w:val="009849C2"/>
    <w:rsid w:val="00984A5F"/>
    <w:rsid w:val="00984ECC"/>
    <w:rsid w:val="00984ED7"/>
    <w:rsid w:val="00985327"/>
    <w:rsid w:val="009853DD"/>
    <w:rsid w:val="00985750"/>
    <w:rsid w:val="00985B25"/>
    <w:rsid w:val="00985D4E"/>
    <w:rsid w:val="00985D7C"/>
    <w:rsid w:val="00987336"/>
    <w:rsid w:val="0099099C"/>
    <w:rsid w:val="00990D47"/>
    <w:rsid w:val="00991064"/>
    <w:rsid w:val="00991698"/>
    <w:rsid w:val="00991919"/>
    <w:rsid w:val="00991A4B"/>
    <w:rsid w:val="00993EB5"/>
    <w:rsid w:val="00994DA0"/>
    <w:rsid w:val="00994EE7"/>
    <w:rsid w:val="009964BB"/>
    <w:rsid w:val="00996772"/>
    <w:rsid w:val="00996796"/>
    <w:rsid w:val="00996BD9"/>
    <w:rsid w:val="00997543"/>
    <w:rsid w:val="009975B6"/>
    <w:rsid w:val="009A0230"/>
    <w:rsid w:val="009A0875"/>
    <w:rsid w:val="009A135F"/>
    <w:rsid w:val="009A1471"/>
    <w:rsid w:val="009A1C94"/>
    <w:rsid w:val="009A2F32"/>
    <w:rsid w:val="009A3432"/>
    <w:rsid w:val="009A43F3"/>
    <w:rsid w:val="009A44F4"/>
    <w:rsid w:val="009A485C"/>
    <w:rsid w:val="009A4FAE"/>
    <w:rsid w:val="009A5E72"/>
    <w:rsid w:val="009A64A5"/>
    <w:rsid w:val="009A707D"/>
    <w:rsid w:val="009A7505"/>
    <w:rsid w:val="009A7982"/>
    <w:rsid w:val="009B072A"/>
    <w:rsid w:val="009B09C5"/>
    <w:rsid w:val="009B0A7F"/>
    <w:rsid w:val="009B0FEE"/>
    <w:rsid w:val="009B1ABE"/>
    <w:rsid w:val="009B207F"/>
    <w:rsid w:val="009B2C54"/>
    <w:rsid w:val="009B3C16"/>
    <w:rsid w:val="009B4266"/>
    <w:rsid w:val="009B479E"/>
    <w:rsid w:val="009B4CA5"/>
    <w:rsid w:val="009B4D61"/>
    <w:rsid w:val="009B4E42"/>
    <w:rsid w:val="009B61AF"/>
    <w:rsid w:val="009B6849"/>
    <w:rsid w:val="009B770F"/>
    <w:rsid w:val="009B7E27"/>
    <w:rsid w:val="009B7E4A"/>
    <w:rsid w:val="009C02E6"/>
    <w:rsid w:val="009C0BBC"/>
    <w:rsid w:val="009C0D7C"/>
    <w:rsid w:val="009C1F54"/>
    <w:rsid w:val="009C21BA"/>
    <w:rsid w:val="009C21BF"/>
    <w:rsid w:val="009C234A"/>
    <w:rsid w:val="009C2911"/>
    <w:rsid w:val="009C2E5D"/>
    <w:rsid w:val="009C34AF"/>
    <w:rsid w:val="009C39CA"/>
    <w:rsid w:val="009C39D7"/>
    <w:rsid w:val="009C3CE0"/>
    <w:rsid w:val="009C4D21"/>
    <w:rsid w:val="009C551F"/>
    <w:rsid w:val="009C5C71"/>
    <w:rsid w:val="009C602B"/>
    <w:rsid w:val="009C62CC"/>
    <w:rsid w:val="009C64F6"/>
    <w:rsid w:val="009C6E5F"/>
    <w:rsid w:val="009C745B"/>
    <w:rsid w:val="009C793F"/>
    <w:rsid w:val="009C7BF0"/>
    <w:rsid w:val="009D034E"/>
    <w:rsid w:val="009D0485"/>
    <w:rsid w:val="009D139A"/>
    <w:rsid w:val="009D171F"/>
    <w:rsid w:val="009D176B"/>
    <w:rsid w:val="009D4ABE"/>
    <w:rsid w:val="009D570D"/>
    <w:rsid w:val="009D5B5C"/>
    <w:rsid w:val="009D5E49"/>
    <w:rsid w:val="009D6E49"/>
    <w:rsid w:val="009D7455"/>
    <w:rsid w:val="009D769A"/>
    <w:rsid w:val="009D7C2E"/>
    <w:rsid w:val="009D7F16"/>
    <w:rsid w:val="009E02F5"/>
    <w:rsid w:val="009E064C"/>
    <w:rsid w:val="009E0C27"/>
    <w:rsid w:val="009E0D8B"/>
    <w:rsid w:val="009E11E8"/>
    <w:rsid w:val="009E13AC"/>
    <w:rsid w:val="009E276E"/>
    <w:rsid w:val="009E33F3"/>
    <w:rsid w:val="009E3D4E"/>
    <w:rsid w:val="009E40AF"/>
    <w:rsid w:val="009E5177"/>
    <w:rsid w:val="009E5719"/>
    <w:rsid w:val="009E578C"/>
    <w:rsid w:val="009E74F4"/>
    <w:rsid w:val="009F000B"/>
    <w:rsid w:val="009F0A13"/>
    <w:rsid w:val="009F21FF"/>
    <w:rsid w:val="009F28DC"/>
    <w:rsid w:val="009F3185"/>
    <w:rsid w:val="009F3914"/>
    <w:rsid w:val="009F3A26"/>
    <w:rsid w:val="009F3BDF"/>
    <w:rsid w:val="009F443F"/>
    <w:rsid w:val="009F4812"/>
    <w:rsid w:val="009F490D"/>
    <w:rsid w:val="009F4B9F"/>
    <w:rsid w:val="009F544F"/>
    <w:rsid w:val="009F58CC"/>
    <w:rsid w:val="009F58CE"/>
    <w:rsid w:val="009F65E2"/>
    <w:rsid w:val="009F70A9"/>
    <w:rsid w:val="009F7B59"/>
    <w:rsid w:val="00A00DC9"/>
    <w:rsid w:val="00A00E9C"/>
    <w:rsid w:val="00A01053"/>
    <w:rsid w:val="00A020E2"/>
    <w:rsid w:val="00A03A87"/>
    <w:rsid w:val="00A04C02"/>
    <w:rsid w:val="00A058E2"/>
    <w:rsid w:val="00A05973"/>
    <w:rsid w:val="00A05A0B"/>
    <w:rsid w:val="00A05AC4"/>
    <w:rsid w:val="00A06980"/>
    <w:rsid w:val="00A10933"/>
    <w:rsid w:val="00A11782"/>
    <w:rsid w:val="00A12F39"/>
    <w:rsid w:val="00A1338E"/>
    <w:rsid w:val="00A14CA7"/>
    <w:rsid w:val="00A14FF8"/>
    <w:rsid w:val="00A155EF"/>
    <w:rsid w:val="00A15AEB"/>
    <w:rsid w:val="00A15D9F"/>
    <w:rsid w:val="00A16164"/>
    <w:rsid w:val="00A162E9"/>
    <w:rsid w:val="00A16C16"/>
    <w:rsid w:val="00A20023"/>
    <w:rsid w:val="00A20578"/>
    <w:rsid w:val="00A217D7"/>
    <w:rsid w:val="00A22755"/>
    <w:rsid w:val="00A23D88"/>
    <w:rsid w:val="00A24023"/>
    <w:rsid w:val="00A2423A"/>
    <w:rsid w:val="00A246C5"/>
    <w:rsid w:val="00A24D25"/>
    <w:rsid w:val="00A24EC4"/>
    <w:rsid w:val="00A24F40"/>
    <w:rsid w:val="00A25186"/>
    <w:rsid w:val="00A25296"/>
    <w:rsid w:val="00A258F4"/>
    <w:rsid w:val="00A25B96"/>
    <w:rsid w:val="00A26661"/>
    <w:rsid w:val="00A26982"/>
    <w:rsid w:val="00A26EF6"/>
    <w:rsid w:val="00A27335"/>
    <w:rsid w:val="00A27F00"/>
    <w:rsid w:val="00A32B7B"/>
    <w:rsid w:val="00A346C2"/>
    <w:rsid w:val="00A34F85"/>
    <w:rsid w:val="00A3563A"/>
    <w:rsid w:val="00A3697B"/>
    <w:rsid w:val="00A36C30"/>
    <w:rsid w:val="00A37419"/>
    <w:rsid w:val="00A37DC2"/>
    <w:rsid w:val="00A401FB"/>
    <w:rsid w:val="00A40DB2"/>
    <w:rsid w:val="00A41071"/>
    <w:rsid w:val="00A42490"/>
    <w:rsid w:val="00A42FD2"/>
    <w:rsid w:val="00A43CC4"/>
    <w:rsid w:val="00A4406D"/>
    <w:rsid w:val="00A447E1"/>
    <w:rsid w:val="00A44908"/>
    <w:rsid w:val="00A44C9C"/>
    <w:rsid w:val="00A44F6E"/>
    <w:rsid w:val="00A45DB5"/>
    <w:rsid w:val="00A46F0B"/>
    <w:rsid w:val="00A46FAA"/>
    <w:rsid w:val="00A477E7"/>
    <w:rsid w:val="00A50BF6"/>
    <w:rsid w:val="00A50E61"/>
    <w:rsid w:val="00A51947"/>
    <w:rsid w:val="00A519FB"/>
    <w:rsid w:val="00A525B6"/>
    <w:rsid w:val="00A52F77"/>
    <w:rsid w:val="00A533AF"/>
    <w:rsid w:val="00A53418"/>
    <w:rsid w:val="00A54245"/>
    <w:rsid w:val="00A54494"/>
    <w:rsid w:val="00A54701"/>
    <w:rsid w:val="00A54E1F"/>
    <w:rsid w:val="00A552FE"/>
    <w:rsid w:val="00A5604A"/>
    <w:rsid w:val="00A56114"/>
    <w:rsid w:val="00A57650"/>
    <w:rsid w:val="00A607B9"/>
    <w:rsid w:val="00A60806"/>
    <w:rsid w:val="00A6081A"/>
    <w:rsid w:val="00A61360"/>
    <w:rsid w:val="00A617A1"/>
    <w:rsid w:val="00A6370E"/>
    <w:rsid w:val="00A6412B"/>
    <w:rsid w:val="00A64A36"/>
    <w:rsid w:val="00A65009"/>
    <w:rsid w:val="00A663C5"/>
    <w:rsid w:val="00A66D54"/>
    <w:rsid w:val="00A67385"/>
    <w:rsid w:val="00A67D41"/>
    <w:rsid w:val="00A707D0"/>
    <w:rsid w:val="00A711BC"/>
    <w:rsid w:val="00A718B4"/>
    <w:rsid w:val="00A72519"/>
    <w:rsid w:val="00A72706"/>
    <w:rsid w:val="00A72A6A"/>
    <w:rsid w:val="00A72A8F"/>
    <w:rsid w:val="00A72C92"/>
    <w:rsid w:val="00A73281"/>
    <w:rsid w:val="00A733F0"/>
    <w:rsid w:val="00A74565"/>
    <w:rsid w:val="00A74DA4"/>
    <w:rsid w:val="00A75602"/>
    <w:rsid w:val="00A759F1"/>
    <w:rsid w:val="00A75A8C"/>
    <w:rsid w:val="00A75DE3"/>
    <w:rsid w:val="00A775F0"/>
    <w:rsid w:val="00A80087"/>
    <w:rsid w:val="00A80914"/>
    <w:rsid w:val="00A80CA8"/>
    <w:rsid w:val="00A81674"/>
    <w:rsid w:val="00A81A50"/>
    <w:rsid w:val="00A81B28"/>
    <w:rsid w:val="00A81E8E"/>
    <w:rsid w:val="00A82646"/>
    <w:rsid w:val="00A82B9E"/>
    <w:rsid w:val="00A831CB"/>
    <w:rsid w:val="00A842DF"/>
    <w:rsid w:val="00A84E2D"/>
    <w:rsid w:val="00A852CE"/>
    <w:rsid w:val="00A85340"/>
    <w:rsid w:val="00A8599D"/>
    <w:rsid w:val="00A85A51"/>
    <w:rsid w:val="00A86244"/>
    <w:rsid w:val="00A86397"/>
    <w:rsid w:val="00A86B20"/>
    <w:rsid w:val="00A870D0"/>
    <w:rsid w:val="00A874D9"/>
    <w:rsid w:val="00A87FAA"/>
    <w:rsid w:val="00A90E47"/>
    <w:rsid w:val="00A90E58"/>
    <w:rsid w:val="00A90EB0"/>
    <w:rsid w:val="00A91320"/>
    <w:rsid w:val="00A91631"/>
    <w:rsid w:val="00A921BB"/>
    <w:rsid w:val="00A93CCA"/>
    <w:rsid w:val="00A9440E"/>
    <w:rsid w:val="00A945E5"/>
    <w:rsid w:val="00A959D5"/>
    <w:rsid w:val="00A9673E"/>
    <w:rsid w:val="00A96E39"/>
    <w:rsid w:val="00A96E6A"/>
    <w:rsid w:val="00AA0157"/>
    <w:rsid w:val="00AA0229"/>
    <w:rsid w:val="00AA03C7"/>
    <w:rsid w:val="00AA0E49"/>
    <w:rsid w:val="00AA100E"/>
    <w:rsid w:val="00AA11CC"/>
    <w:rsid w:val="00AA1C1F"/>
    <w:rsid w:val="00AA1FB8"/>
    <w:rsid w:val="00AA202D"/>
    <w:rsid w:val="00AA56EE"/>
    <w:rsid w:val="00AA5C09"/>
    <w:rsid w:val="00AA60CE"/>
    <w:rsid w:val="00AA7012"/>
    <w:rsid w:val="00AA7320"/>
    <w:rsid w:val="00AB01D3"/>
    <w:rsid w:val="00AB13A0"/>
    <w:rsid w:val="00AB1ED5"/>
    <w:rsid w:val="00AB20DE"/>
    <w:rsid w:val="00AB346D"/>
    <w:rsid w:val="00AB3D2E"/>
    <w:rsid w:val="00AB44BD"/>
    <w:rsid w:val="00AB52B2"/>
    <w:rsid w:val="00AB592F"/>
    <w:rsid w:val="00AB5E67"/>
    <w:rsid w:val="00AB5FE9"/>
    <w:rsid w:val="00AB615F"/>
    <w:rsid w:val="00AB6409"/>
    <w:rsid w:val="00AB643E"/>
    <w:rsid w:val="00AB69AA"/>
    <w:rsid w:val="00AB738D"/>
    <w:rsid w:val="00AB7BA2"/>
    <w:rsid w:val="00AB7E78"/>
    <w:rsid w:val="00AC0121"/>
    <w:rsid w:val="00AC01BC"/>
    <w:rsid w:val="00AC1506"/>
    <w:rsid w:val="00AC21E4"/>
    <w:rsid w:val="00AC2639"/>
    <w:rsid w:val="00AC264F"/>
    <w:rsid w:val="00AC2EA5"/>
    <w:rsid w:val="00AC3849"/>
    <w:rsid w:val="00AC39A5"/>
    <w:rsid w:val="00AC3C92"/>
    <w:rsid w:val="00AC45C7"/>
    <w:rsid w:val="00AC4B9A"/>
    <w:rsid w:val="00AC5874"/>
    <w:rsid w:val="00AC644D"/>
    <w:rsid w:val="00AC6899"/>
    <w:rsid w:val="00AC6DE0"/>
    <w:rsid w:val="00AC6E57"/>
    <w:rsid w:val="00AD0082"/>
    <w:rsid w:val="00AD067F"/>
    <w:rsid w:val="00AD0810"/>
    <w:rsid w:val="00AD0C8D"/>
    <w:rsid w:val="00AD0F27"/>
    <w:rsid w:val="00AD33D4"/>
    <w:rsid w:val="00AD37E5"/>
    <w:rsid w:val="00AD458F"/>
    <w:rsid w:val="00AD4719"/>
    <w:rsid w:val="00AD4A33"/>
    <w:rsid w:val="00AD4CB1"/>
    <w:rsid w:val="00AD4D6D"/>
    <w:rsid w:val="00AD543B"/>
    <w:rsid w:val="00AD56C2"/>
    <w:rsid w:val="00AD5BDA"/>
    <w:rsid w:val="00AD6572"/>
    <w:rsid w:val="00AD6E9A"/>
    <w:rsid w:val="00AD7B47"/>
    <w:rsid w:val="00AE00A2"/>
    <w:rsid w:val="00AE315C"/>
    <w:rsid w:val="00AE37AD"/>
    <w:rsid w:val="00AE3BB3"/>
    <w:rsid w:val="00AE440E"/>
    <w:rsid w:val="00AE49D5"/>
    <w:rsid w:val="00AE62F4"/>
    <w:rsid w:val="00AE6569"/>
    <w:rsid w:val="00AE65C5"/>
    <w:rsid w:val="00AE6F9D"/>
    <w:rsid w:val="00AE6FB2"/>
    <w:rsid w:val="00AF1F85"/>
    <w:rsid w:val="00AF2546"/>
    <w:rsid w:val="00AF2B4E"/>
    <w:rsid w:val="00AF35F4"/>
    <w:rsid w:val="00AF4618"/>
    <w:rsid w:val="00AF4AE7"/>
    <w:rsid w:val="00AF4F3E"/>
    <w:rsid w:val="00AF52B1"/>
    <w:rsid w:val="00AF6693"/>
    <w:rsid w:val="00AF70E9"/>
    <w:rsid w:val="00AF72E5"/>
    <w:rsid w:val="00AF73A2"/>
    <w:rsid w:val="00AF75E5"/>
    <w:rsid w:val="00B00F63"/>
    <w:rsid w:val="00B022AF"/>
    <w:rsid w:val="00B03AE5"/>
    <w:rsid w:val="00B045A9"/>
    <w:rsid w:val="00B045D6"/>
    <w:rsid w:val="00B054C6"/>
    <w:rsid w:val="00B0551C"/>
    <w:rsid w:val="00B05F30"/>
    <w:rsid w:val="00B06394"/>
    <w:rsid w:val="00B0755C"/>
    <w:rsid w:val="00B07EAE"/>
    <w:rsid w:val="00B10811"/>
    <w:rsid w:val="00B11423"/>
    <w:rsid w:val="00B12D75"/>
    <w:rsid w:val="00B13E18"/>
    <w:rsid w:val="00B14537"/>
    <w:rsid w:val="00B1487F"/>
    <w:rsid w:val="00B1620D"/>
    <w:rsid w:val="00B17327"/>
    <w:rsid w:val="00B201D3"/>
    <w:rsid w:val="00B204A5"/>
    <w:rsid w:val="00B20722"/>
    <w:rsid w:val="00B2083B"/>
    <w:rsid w:val="00B20F9F"/>
    <w:rsid w:val="00B21A3A"/>
    <w:rsid w:val="00B21B4C"/>
    <w:rsid w:val="00B21CD4"/>
    <w:rsid w:val="00B2217D"/>
    <w:rsid w:val="00B2225A"/>
    <w:rsid w:val="00B23003"/>
    <w:rsid w:val="00B23535"/>
    <w:rsid w:val="00B2395D"/>
    <w:rsid w:val="00B252E6"/>
    <w:rsid w:val="00B2616C"/>
    <w:rsid w:val="00B26763"/>
    <w:rsid w:val="00B2756A"/>
    <w:rsid w:val="00B304F3"/>
    <w:rsid w:val="00B30A97"/>
    <w:rsid w:val="00B30BE1"/>
    <w:rsid w:val="00B30FA2"/>
    <w:rsid w:val="00B311F7"/>
    <w:rsid w:val="00B31327"/>
    <w:rsid w:val="00B335A3"/>
    <w:rsid w:val="00B354FB"/>
    <w:rsid w:val="00B3605C"/>
    <w:rsid w:val="00B3710D"/>
    <w:rsid w:val="00B37FD3"/>
    <w:rsid w:val="00B40FD8"/>
    <w:rsid w:val="00B4230B"/>
    <w:rsid w:val="00B4274D"/>
    <w:rsid w:val="00B4394B"/>
    <w:rsid w:val="00B445A4"/>
    <w:rsid w:val="00B459F6"/>
    <w:rsid w:val="00B45A0C"/>
    <w:rsid w:val="00B45DB9"/>
    <w:rsid w:val="00B46A75"/>
    <w:rsid w:val="00B47360"/>
    <w:rsid w:val="00B474DB"/>
    <w:rsid w:val="00B475B6"/>
    <w:rsid w:val="00B47610"/>
    <w:rsid w:val="00B47FC4"/>
    <w:rsid w:val="00B50681"/>
    <w:rsid w:val="00B50E45"/>
    <w:rsid w:val="00B50FE6"/>
    <w:rsid w:val="00B51371"/>
    <w:rsid w:val="00B5147F"/>
    <w:rsid w:val="00B51DF4"/>
    <w:rsid w:val="00B539B4"/>
    <w:rsid w:val="00B548D0"/>
    <w:rsid w:val="00B5492C"/>
    <w:rsid w:val="00B554CE"/>
    <w:rsid w:val="00B569C3"/>
    <w:rsid w:val="00B569E9"/>
    <w:rsid w:val="00B572FE"/>
    <w:rsid w:val="00B57421"/>
    <w:rsid w:val="00B57C32"/>
    <w:rsid w:val="00B61259"/>
    <w:rsid w:val="00B61400"/>
    <w:rsid w:val="00B616D7"/>
    <w:rsid w:val="00B61BC9"/>
    <w:rsid w:val="00B62B31"/>
    <w:rsid w:val="00B62C29"/>
    <w:rsid w:val="00B62C35"/>
    <w:rsid w:val="00B639B6"/>
    <w:rsid w:val="00B63ED8"/>
    <w:rsid w:val="00B64C68"/>
    <w:rsid w:val="00B650EF"/>
    <w:rsid w:val="00B6552C"/>
    <w:rsid w:val="00B65661"/>
    <w:rsid w:val="00B65F5E"/>
    <w:rsid w:val="00B66490"/>
    <w:rsid w:val="00B66BA5"/>
    <w:rsid w:val="00B70774"/>
    <w:rsid w:val="00B70A98"/>
    <w:rsid w:val="00B71D75"/>
    <w:rsid w:val="00B7235D"/>
    <w:rsid w:val="00B73063"/>
    <w:rsid w:val="00B7315B"/>
    <w:rsid w:val="00B7404E"/>
    <w:rsid w:val="00B7503C"/>
    <w:rsid w:val="00B75448"/>
    <w:rsid w:val="00B754A9"/>
    <w:rsid w:val="00B75DDB"/>
    <w:rsid w:val="00B761F0"/>
    <w:rsid w:val="00B77098"/>
    <w:rsid w:val="00B77939"/>
    <w:rsid w:val="00B77BF9"/>
    <w:rsid w:val="00B77F00"/>
    <w:rsid w:val="00B801A1"/>
    <w:rsid w:val="00B801E8"/>
    <w:rsid w:val="00B808CA"/>
    <w:rsid w:val="00B80B05"/>
    <w:rsid w:val="00B80F06"/>
    <w:rsid w:val="00B813BB"/>
    <w:rsid w:val="00B818EB"/>
    <w:rsid w:val="00B81CCA"/>
    <w:rsid w:val="00B81EC5"/>
    <w:rsid w:val="00B82678"/>
    <w:rsid w:val="00B8289F"/>
    <w:rsid w:val="00B836A3"/>
    <w:rsid w:val="00B837DC"/>
    <w:rsid w:val="00B843EB"/>
    <w:rsid w:val="00B84B90"/>
    <w:rsid w:val="00B85DD9"/>
    <w:rsid w:val="00B86435"/>
    <w:rsid w:val="00B86715"/>
    <w:rsid w:val="00B90098"/>
    <w:rsid w:val="00B927A9"/>
    <w:rsid w:val="00B92DBE"/>
    <w:rsid w:val="00B930FA"/>
    <w:rsid w:val="00B93890"/>
    <w:rsid w:val="00B94A7D"/>
    <w:rsid w:val="00B95A4A"/>
    <w:rsid w:val="00B95D11"/>
    <w:rsid w:val="00B97FF7"/>
    <w:rsid w:val="00BA06FB"/>
    <w:rsid w:val="00BA095F"/>
    <w:rsid w:val="00BA0E58"/>
    <w:rsid w:val="00BA0F9B"/>
    <w:rsid w:val="00BA11AD"/>
    <w:rsid w:val="00BA132E"/>
    <w:rsid w:val="00BA17F5"/>
    <w:rsid w:val="00BA1BA6"/>
    <w:rsid w:val="00BA26D9"/>
    <w:rsid w:val="00BA39CA"/>
    <w:rsid w:val="00BA3A5B"/>
    <w:rsid w:val="00BA3B1A"/>
    <w:rsid w:val="00BA3C08"/>
    <w:rsid w:val="00BA4D58"/>
    <w:rsid w:val="00BA51FA"/>
    <w:rsid w:val="00BA54F8"/>
    <w:rsid w:val="00BA57FB"/>
    <w:rsid w:val="00BA5CA8"/>
    <w:rsid w:val="00BA6BAC"/>
    <w:rsid w:val="00BA6DC7"/>
    <w:rsid w:val="00BA7A2D"/>
    <w:rsid w:val="00BB0B76"/>
    <w:rsid w:val="00BB0EF5"/>
    <w:rsid w:val="00BB1915"/>
    <w:rsid w:val="00BB19AB"/>
    <w:rsid w:val="00BB2909"/>
    <w:rsid w:val="00BB2A16"/>
    <w:rsid w:val="00BB2D18"/>
    <w:rsid w:val="00BB2D75"/>
    <w:rsid w:val="00BB2F58"/>
    <w:rsid w:val="00BB33B7"/>
    <w:rsid w:val="00BB354E"/>
    <w:rsid w:val="00BB517A"/>
    <w:rsid w:val="00BB55F5"/>
    <w:rsid w:val="00BB5924"/>
    <w:rsid w:val="00BB5978"/>
    <w:rsid w:val="00BB5A84"/>
    <w:rsid w:val="00BB62E1"/>
    <w:rsid w:val="00BB6C4F"/>
    <w:rsid w:val="00BB6D58"/>
    <w:rsid w:val="00BC01B9"/>
    <w:rsid w:val="00BC0DCB"/>
    <w:rsid w:val="00BC11A1"/>
    <w:rsid w:val="00BC2831"/>
    <w:rsid w:val="00BC30DF"/>
    <w:rsid w:val="00BC34C0"/>
    <w:rsid w:val="00BC3625"/>
    <w:rsid w:val="00BC3BF7"/>
    <w:rsid w:val="00BC44D5"/>
    <w:rsid w:val="00BC46C6"/>
    <w:rsid w:val="00BC4811"/>
    <w:rsid w:val="00BC48EA"/>
    <w:rsid w:val="00BC492F"/>
    <w:rsid w:val="00BC50A6"/>
    <w:rsid w:val="00BC5A3C"/>
    <w:rsid w:val="00BC5C19"/>
    <w:rsid w:val="00BC5E5F"/>
    <w:rsid w:val="00BC6F93"/>
    <w:rsid w:val="00BC7356"/>
    <w:rsid w:val="00BC79CB"/>
    <w:rsid w:val="00BD029F"/>
    <w:rsid w:val="00BD0BF7"/>
    <w:rsid w:val="00BD0FE2"/>
    <w:rsid w:val="00BD1C5B"/>
    <w:rsid w:val="00BD232B"/>
    <w:rsid w:val="00BD2FF4"/>
    <w:rsid w:val="00BD3FCD"/>
    <w:rsid w:val="00BD40BC"/>
    <w:rsid w:val="00BD4A9C"/>
    <w:rsid w:val="00BD4D7B"/>
    <w:rsid w:val="00BD54E7"/>
    <w:rsid w:val="00BD56B6"/>
    <w:rsid w:val="00BD5968"/>
    <w:rsid w:val="00BD6408"/>
    <w:rsid w:val="00BD6585"/>
    <w:rsid w:val="00BD770E"/>
    <w:rsid w:val="00BD7AB2"/>
    <w:rsid w:val="00BE1183"/>
    <w:rsid w:val="00BE13F9"/>
    <w:rsid w:val="00BE1836"/>
    <w:rsid w:val="00BE1C37"/>
    <w:rsid w:val="00BE1DD4"/>
    <w:rsid w:val="00BE1F62"/>
    <w:rsid w:val="00BE2746"/>
    <w:rsid w:val="00BE31ED"/>
    <w:rsid w:val="00BE35B2"/>
    <w:rsid w:val="00BE3913"/>
    <w:rsid w:val="00BE546F"/>
    <w:rsid w:val="00BE56C3"/>
    <w:rsid w:val="00BE5FA5"/>
    <w:rsid w:val="00BE628A"/>
    <w:rsid w:val="00BE6C14"/>
    <w:rsid w:val="00BE6DB8"/>
    <w:rsid w:val="00BE749B"/>
    <w:rsid w:val="00BE7C94"/>
    <w:rsid w:val="00BF1A44"/>
    <w:rsid w:val="00BF1F37"/>
    <w:rsid w:val="00BF230D"/>
    <w:rsid w:val="00BF25BD"/>
    <w:rsid w:val="00BF28C6"/>
    <w:rsid w:val="00BF3722"/>
    <w:rsid w:val="00BF3987"/>
    <w:rsid w:val="00BF535C"/>
    <w:rsid w:val="00BF5954"/>
    <w:rsid w:val="00BF62B1"/>
    <w:rsid w:val="00C0018F"/>
    <w:rsid w:val="00C00830"/>
    <w:rsid w:val="00C01155"/>
    <w:rsid w:val="00C03328"/>
    <w:rsid w:val="00C03386"/>
    <w:rsid w:val="00C038C4"/>
    <w:rsid w:val="00C03C42"/>
    <w:rsid w:val="00C042F1"/>
    <w:rsid w:val="00C049C8"/>
    <w:rsid w:val="00C0561E"/>
    <w:rsid w:val="00C060A4"/>
    <w:rsid w:val="00C06546"/>
    <w:rsid w:val="00C06F54"/>
    <w:rsid w:val="00C105CA"/>
    <w:rsid w:val="00C110C3"/>
    <w:rsid w:val="00C114C0"/>
    <w:rsid w:val="00C11500"/>
    <w:rsid w:val="00C11713"/>
    <w:rsid w:val="00C11E8C"/>
    <w:rsid w:val="00C11FC3"/>
    <w:rsid w:val="00C1283B"/>
    <w:rsid w:val="00C12990"/>
    <w:rsid w:val="00C135BD"/>
    <w:rsid w:val="00C139AC"/>
    <w:rsid w:val="00C13BB9"/>
    <w:rsid w:val="00C13CEF"/>
    <w:rsid w:val="00C1422B"/>
    <w:rsid w:val="00C153E0"/>
    <w:rsid w:val="00C15493"/>
    <w:rsid w:val="00C15E54"/>
    <w:rsid w:val="00C16A23"/>
    <w:rsid w:val="00C17472"/>
    <w:rsid w:val="00C2015A"/>
    <w:rsid w:val="00C204E2"/>
    <w:rsid w:val="00C21B62"/>
    <w:rsid w:val="00C21EC0"/>
    <w:rsid w:val="00C2332E"/>
    <w:rsid w:val="00C244C3"/>
    <w:rsid w:val="00C2459E"/>
    <w:rsid w:val="00C245D8"/>
    <w:rsid w:val="00C248CC"/>
    <w:rsid w:val="00C24D5F"/>
    <w:rsid w:val="00C24F14"/>
    <w:rsid w:val="00C25026"/>
    <w:rsid w:val="00C25954"/>
    <w:rsid w:val="00C25D82"/>
    <w:rsid w:val="00C26360"/>
    <w:rsid w:val="00C27BD1"/>
    <w:rsid w:val="00C27F12"/>
    <w:rsid w:val="00C301C8"/>
    <w:rsid w:val="00C30647"/>
    <w:rsid w:val="00C30BBA"/>
    <w:rsid w:val="00C30E11"/>
    <w:rsid w:val="00C310A6"/>
    <w:rsid w:val="00C31442"/>
    <w:rsid w:val="00C31BA7"/>
    <w:rsid w:val="00C31BD9"/>
    <w:rsid w:val="00C322B4"/>
    <w:rsid w:val="00C3297C"/>
    <w:rsid w:val="00C33020"/>
    <w:rsid w:val="00C334FB"/>
    <w:rsid w:val="00C339D9"/>
    <w:rsid w:val="00C34A03"/>
    <w:rsid w:val="00C357F9"/>
    <w:rsid w:val="00C35F85"/>
    <w:rsid w:val="00C36327"/>
    <w:rsid w:val="00C36640"/>
    <w:rsid w:val="00C366F5"/>
    <w:rsid w:val="00C36A4A"/>
    <w:rsid w:val="00C36C45"/>
    <w:rsid w:val="00C37358"/>
    <w:rsid w:val="00C376A5"/>
    <w:rsid w:val="00C37A23"/>
    <w:rsid w:val="00C37BF2"/>
    <w:rsid w:val="00C400B2"/>
    <w:rsid w:val="00C4059B"/>
    <w:rsid w:val="00C41339"/>
    <w:rsid w:val="00C4186C"/>
    <w:rsid w:val="00C42A1B"/>
    <w:rsid w:val="00C42B23"/>
    <w:rsid w:val="00C431E5"/>
    <w:rsid w:val="00C4407E"/>
    <w:rsid w:val="00C44114"/>
    <w:rsid w:val="00C441DC"/>
    <w:rsid w:val="00C4498E"/>
    <w:rsid w:val="00C44DDC"/>
    <w:rsid w:val="00C453FC"/>
    <w:rsid w:val="00C45C0A"/>
    <w:rsid w:val="00C4630D"/>
    <w:rsid w:val="00C46C58"/>
    <w:rsid w:val="00C47785"/>
    <w:rsid w:val="00C47FC2"/>
    <w:rsid w:val="00C50577"/>
    <w:rsid w:val="00C50891"/>
    <w:rsid w:val="00C50B5D"/>
    <w:rsid w:val="00C5111D"/>
    <w:rsid w:val="00C51BF5"/>
    <w:rsid w:val="00C5476F"/>
    <w:rsid w:val="00C55BCE"/>
    <w:rsid w:val="00C56008"/>
    <w:rsid w:val="00C56688"/>
    <w:rsid w:val="00C5671C"/>
    <w:rsid w:val="00C569ED"/>
    <w:rsid w:val="00C56D79"/>
    <w:rsid w:val="00C56F80"/>
    <w:rsid w:val="00C57249"/>
    <w:rsid w:val="00C572F5"/>
    <w:rsid w:val="00C5753A"/>
    <w:rsid w:val="00C57558"/>
    <w:rsid w:val="00C57A55"/>
    <w:rsid w:val="00C57E0F"/>
    <w:rsid w:val="00C57FF5"/>
    <w:rsid w:val="00C60B17"/>
    <w:rsid w:val="00C60CB3"/>
    <w:rsid w:val="00C61388"/>
    <w:rsid w:val="00C616B2"/>
    <w:rsid w:val="00C61758"/>
    <w:rsid w:val="00C63B38"/>
    <w:rsid w:val="00C63C08"/>
    <w:rsid w:val="00C63CC6"/>
    <w:rsid w:val="00C64C61"/>
    <w:rsid w:val="00C65DA8"/>
    <w:rsid w:val="00C66104"/>
    <w:rsid w:val="00C668D4"/>
    <w:rsid w:val="00C669DC"/>
    <w:rsid w:val="00C67281"/>
    <w:rsid w:val="00C67391"/>
    <w:rsid w:val="00C7066B"/>
    <w:rsid w:val="00C70C52"/>
    <w:rsid w:val="00C717C0"/>
    <w:rsid w:val="00C7188C"/>
    <w:rsid w:val="00C71B29"/>
    <w:rsid w:val="00C71B80"/>
    <w:rsid w:val="00C71D5C"/>
    <w:rsid w:val="00C73A93"/>
    <w:rsid w:val="00C73C43"/>
    <w:rsid w:val="00C73EBB"/>
    <w:rsid w:val="00C746D0"/>
    <w:rsid w:val="00C7496B"/>
    <w:rsid w:val="00C74D2F"/>
    <w:rsid w:val="00C76397"/>
    <w:rsid w:val="00C77712"/>
    <w:rsid w:val="00C80097"/>
    <w:rsid w:val="00C80251"/>
    <w:rsid w:val="00C80680"/>
    <w:rsid w:val="00C80B2A"/>
    <w:rsid w:val="00C82426"/>
    <w:rsid w:val="00C824A8"/>
    <w:rsid w:val="00C83A80"/>
    <w:rsid w:val="00C84436"/>
    <w:rsid w:val="00C84439"/>
    <w:rsid w:val="00C84639"/>
    <w:rsid w:val="00C85E26"/>
    <w:rsid w:val="00C8747A"/>
    <w:rsid w:val="00C9079E"/>
    <w:rsid w:val="00C9130F"/>
    <w:rsid w:val="00C919AF"/>
    <w:rsid w:val="00C91C22"/>
    <w:rsid w:val="00C91EBF"/>
    <w:rsid w:val="00C91F6C"/>
    <w:rsid w:val="00C923AF"/>
    <w:rsid w:val="00C925F3"/>
    <w:rsid w:val="00C9324D"/>
    <w:rsid w:val="00C935DF"/>
    <w:rsid w:val="00C94400"/>
    <w:rsid w:val="00C94682"/>
    <w:rsid w:val="00C94D56"/>
    <w:rsid w:val="00C97283"/>
    <w:rsid w:val="00CA0061"/>
    <w:rsid w:val="00CA02D0"/>
    <w:rsid w:val="00CA0310"/>
    <w:rsid w:val="00CA10A8"/>
    <w:rsid w:val="00CA1331"/>
    <w:rsid w:val="00CA1ABE"/>
    <w:rsid w:val="00CA2282"/>
    <w:rsid w:val="00CA37ED"/>
    <w:rsid w:val="00CA4B2C"/>
    <w:rsid w:val="00CA4EE5"/>
    <w:rsid w:val="00CA4F65"/>
    <w:rsid w:val="00CA5D22"/>
    <w:rsid w:val="00CA7694"/>
    <w:rsid w:val="00CA7EF3"/>
    <w:rsid w:val="00CB12F9"/>
    <w:rsid w:val="00CB3F59"/>
    <w:rsid w:val="00CB498E"/>
    <w:rsid w:val="00CB51B2"/>
    <w:rsid w:val="00CB538D"/>
    <w:rsid w:val="00CB539F"/>
    <w:rsid w:val="00CB5EB8"/>
    <w:rsid w:val="00CB6E57"/>
    <w:rsid w:val="00CB79A9"/>
    <w:rsid w:val="00CB7CCA"/>
    <w:rsid w:val="00CC2526"/>
    <w:rsid w:val="00CC26A7"/>
    <w:rsid w:val="00CC2BDD"/>
    <w:rsid w:val="00CC3BF0"/>
    <w:rsid w:val="00CC3CD1"/>
    <w:rsid w:val="00CC462B"/>
    <w:rsid w:val="00CC4869"/>
    <w:rsid w:val="00CC4A96"/>
    <w:rsid w:val="00CC59B6"/>
    <w:rsid w:val="00CC59F4"/>
    <w:rsid w:val="00CC611B"/>
    <w:rsid w:val="00CC6EE7"/>
    <w:rsid w:val="00CC75F6"/>
    <w:rsid w:val="00CC76AE"/>
    <w:rsid w:val="00CD14D8"/>
    <w:rsid w:val="00CD19C6"/>
    <w:rsid w:val="00CD22B8"/>
    <w:rsid w:val="00CD28BA"/>
    <w:rsid w:val="00CD34D6"/>
    <w:rsid w:val="00CD37A6"/>
    <w:rsid w:val="00CD4146"/>
    <w:rsid w:val="00CD5B00"/>
    <w:rsid w:val="00CD5F9E"/>
    <w:rsid w:val="00CD68C8"/>
    <w:rsid w:val="00CD68FE"/>
    <w:rsid w:val="00CD6EE8"/>
    <w:rsid w:val="00CD768D"/>
    <w:rsid w:val="00CD79B7"/>
    <w:rsid w:val="00CE0723"/>
    <w:rsid w:val="00CE0953"/>
    <w:rsid w:val="00CE0969"/>
    <w:rsid w:val="00CE14EA"/>
    <w:rsid w:val="00CE1F86"/>
    <w:rsid w:val="00CE21E4"/>
    <w:rsid w:val="00CE3A54"/>
    <w:rsid w:val="00CE4106"/>
    <w:rsid w:val="00CE43A6"/>
    <w:rsid w:val="00CE4BA6"/>
    <w:rsid w:val="00CE50C5"/>
    <w:rsid w:val="00CE53F2"/>
    <w:rsid w:val="00CE6542"/>
    <w:rsid w:val="00CE65DD"/>
    <w:rsid w:val="00CE6690"/>
    <w:rsid w:val="00CE66A7"/>
    <w:rsid w:val="00CE6F65"/>
    <w:rsid w:val="00CE79B6"/>
    <w:rsid w:val="00CF0257"/>
    <w:rsid w:val="00CF10BF"/>
    <w:rsid w:val="00CF1D44"/>
    <w:rsid w:val="00CF23CC"/>
    <w:rsid w:val="00CF2CCA"/>
    <w:rsid w:val="00CF324E"/>
    <w:rsid w:val="00CF38DF"/>
    <w:rsid w:val="00CF54AF"/>
    <w:rsid w:val="00CF57FA"/>
    <w:rsid w:val="00CF5F93"/>
    <w:rsid w:val="00CF61EF"/>
    <w:rsid w:val="00CF7252"/>
    <w:rsid w:val="00CF7B4B"/>
    <w:rsid w:val="00CF7CA4"/>
    <w:rsid w:val="00D018D2"/>
    <w:rsid w:val="00D02374"/>
    <w:rsid w:val="00D02C32"/>
    <w:rsid w:val="00D03CC5"/>
    <w:rsid w:val="00D058E3"/>
    <w:rsid w:val="00D0790C"/>
    <w:rsid w:val="00D07955"/>
    <w:rsid w:val="00D10D4F"/>
    <w:rsid w:val="00D1104A"/>
    <w:rsid w:val="00D111BA"/>
    <w:rsid w:val="00D11ADD"/>
    <w:rsid w:val="00D12D79"/>
    <w:rsid w:val="00D12DCC"/>
    <w:rsid w:val="00D1485B"/>
    <w:rsid w:val="00D148B9"/>
    <w:rsid w:val="00D14917"/>
    <w:rsid w:val="00D14B76"/>
    <w:rsid w:val="00D1570B"/>
    <w:rsid w:val="00D15956"/>
    <w:rsid w:val="00D204E0"/>
    <w:rsid w:val="00D20A4A"/>
    <w:rsid w:val="00D22202"/>
    <w:rsid w:val="00D226C3"/>
    <w:rsid w:val="00D23B09"/>
    <w:rsid w:val="00D23E26"/>
    <w:rsid w:val="00D243C3"/>
    <w:rsid w:val="00D30951"/>
    <w:rsid w:val="00D312AD"/>
    <w:rsid w:val="00D31327"/>
    <w:rsid w:val="00D318FE"/>
    <w:rsid w:val="00D319A6"/>
    <w:rsid w:val="00D31B95"/>
    <w:rsid w:val="00D31E2E"/>
    <w:rsid w:val="00D31F49"/>
    <w:rsid w:val="00D32140"/>
    <w:rsid w:val="00D33402"/>
    <w:rsid w:val="00D345E2"/>
    <w:rsid w:val="00D34697"/>
    <w:rsid w:val="00D34844"/>
    <w:rsid w:val="00D34964"/>
    <w:rsid w:val="00D34C29"/>
    <w:rsid w:val="00D363DE"/>
    <w:rsid w:val="00D36792"/>
    <w:rsid w:val="00D36AB5"/>
    <w:rsid w:val="00D36B1C"/>
    <w:rsid w:val="00D3730C"/>
    <w:rsid w:val="00D37FBB"/>
    <w:rsid w:val="00D40B20"/>
    <w:rsid w:val="00D41E81"/>
    <w:rsid w:val="00D41EF7"/>
    <w:rsid w:val="00D4253F"/>
    <w:rsid w:val="00D428D4"/>
    <w:rsid w:val="00D43428"/>
    <w:rsid w:val="00D43598"/>
    <w:rsid w:val="00D4387D"/>
    <w:rsid w:val="00D44214"/>
    <w:rsid w:val="00D448F6"/>
    <w:rsid w:val="00D467CA"/>
    <w:rsid w:val="00D46C67"/>
    <w:rsid w:val="00D47658"/>
    <w:rsid w:val="00D477AD"/>
    <w:rsid w:val="00D508E3"/>
    <w:rsid w:val="00D50BEC"/>
    <w:rsid w:val="00D50D52"/>
    <w:rsid w:val="00D50FA5"/>
    <w:rsid w:val="00D51954"/>
    <w:rsid w:val="00D52C33"/>
    <w:rsid w:val="00D5481B"/>
    <w:rsid w:val="00D54885"/>
    <w:rsid w:val="00D55CE6"/>
    <w:rsid w:val="00D55DB8"/>
    <w:rsid w:val="00D5619D"/>
    <w:rsid w:val="00D5630B"/>
    <w:rsid w:val="00D56D5F"/>
    <w:rsid w:val="00D56F6E"/>
    <w:rsid w:val="00D57C10"/>
    <w:rsid w:val="00D60953"/>
    <w:rsid w:val="00D60F60"/>
    <w:rsid w:val="00D61227"/>
    <w:rsid w:val="00D6156B"/>
    <w:rsid w:val="00D61822"/>
    <w:rsid w:val="00D6197C"/>
    <w:rsid w:val="00D620E4"/>
    <w:rsid w:val="00D63046"/>
    <w:rsid w:val="00D64217"/>
    <w:rsid w:val="00D64262"/>
    <w:rsid w:val="00D6473B"/>
    <w:rsid w:val="00D64F7B"/>
    <w:rsid w:val="00D652DD"/>
    <w:rsid w:val="00D65756"/>
    <w:rsid w:val="00D66675"/>
    <w:rsid w:val="00D66BD4"/>
    <w:rsid w:val="00D66C67"/>
    <w:rsid w:val="00D66D34"/>
    <w:rsid w:val="00D66DC3"/>
    <w:rsid w:val="00D66EE3"/>
    <w:rsid w:val="00D67B03"/>
    <w:rsid w:val="00D67FDE"/>
    <w:rsid w:val="00D70137"/>
    <w:rsid w:val="00D70568"/>
    <w:rsid w:val="00D7103F"/>
    <w:rsid w:val="00D7122E"/>
    <w:rsid w:val="00D71567"/>
    <w:rsid w:val="00D71B4C"/>
    <w:rsid w:val="00D71F73"/>
    <w:rsid w:val="00D72DBD"/>
    <w:rsid w:val="00D74698"/>
    <w:rsid w:val="00D7495D"/>
    <w:rsid w:val="00D7553D"/>
    <w:rsid w:val="00D75EAC"/>
    <w:rsid w:val="00D76178"/>
    <w:rsid w:val="00D762A9"/>
    <w:rsid w:val="00D77222"/>
    <w:rsid w:val="00D80543"/>
    <w:rsid w:val="00D80A62"/>
    <w:rsid w:val="00D811CE"/>
    <w:rsid w:val="00D8166E"/>
    <w:rsid w:val="00D81B3C"/>
    <w:rsid w:val="00D81D5F"/>
    <w:rsid w:val="00D81D92"/>
    <w:rsid w:val="00D82664"/>
    <w:rsid w:val="00D826F9"/>
    <w:rsid w:val="00D8416E"/>
    <w:rsid w:val="00D8448E"/>
    <w:rsid w:val="00D8508F"/>
    <w:rsid w:val="00D8619A"/>
    <w:rsid w:val="00D86EEA"/>
    <w:rsid w:val="00D8703F"/>
    <w:rsid w:val="00D87446"/>
    <w:rsid w:val="00D87AFF"/>
    <w:rsid w:val="00D90BE0"/>
    <w:rsid w:val="00D90C63"/>
    <w:rsid w:val="00D91E7E"/>
    <w:rsid w:val="00D91F8D"/>
    <w:rsid w:val="00D920AE"/>
    <w:rsid w:val="00D926F7"/>
    <w:rsid w:val="00D9288A"/>
    <w:rsid w:val="00D934E3"/>
    <w:rsid w:val="00D941DE"/>
    <w:rsid w:val="00D95BCE"/>
    <w:rsid w:val="00D961A1"/>
    <w:rsid w:val="00D961D3"/>
    <w:rsid w:val="00D963CF"/>
    <w:rsid w:val="00D96933"/>
    <w:rsid w:val="00D96E81"/>
    <w:rsid w:val="00D9772B"/>
    <w:rsid w:val="00DA0A50"/>
    <w:rsid w:val="00DA0D1B"/>
    <w:rsid w:val="00DA126F"/>
    <w:rsid w:val="00DA1DF6"/>
    <w:rsid w:val="00DA1F1C"/>
    <w:rsid w:val="00DA25F9"/>
    <w:rsid w:val="00DA29A2"/>
    <w:rsid w:val="00DA2B77"/>
    <w:rsid w:val="00DA366E"/>
    <w:rsid w:val="00DA3895"/>
    <w:rsid w:val="00DA3D25"/>
    <w:rsid w:val="00DA3DF7"/>
    <w:rsid w:val="00DA3E76"/>
    <w:rsid w:val="00DA4F04"/>
    <w:rsid w:val="00DA5056"/>
    <w:rsid w:val="00DA5A80"/>
    <w:rsid w:val="00DA633D"/>
    <w:rsid w:val="00DA67B6"/>
    <w:rsid w:val="00DA7368"/>
    <w:rsid w:val="00DA7F3A"/>
    <w:rsid w:val="00DB0046"/>
    <w:rsid w:val="00DB02ED"/>
    <w:rsid w:val="00DB0DF7"/>
    <w:rsid w:val="00DB22E2"/>
    <w:rsid w:val="00DB256F"/>
    <w:rsid w:val="00DB2A3F"/>
    <w:rsid w:val="00DB2C33"/>
    <w:rsid w:val="00DB3394"/>
    <w:rsid w:val="00DB37FD"/>
    <w:rsid w:val="00DB3831"/>
    <w:rsid w:val="00DB4644"/>
    <w:rsid w:val="00DB6707"/>
    <w:rsid w:val="00DB6A40"/>
    <w:rsid w:val="00DB72D8"/>
    <w:rsid w:val="00DB7BF9"/>
    <w:rsid w:val="00DB7C4C"/>
    <w:rsid w:val="00DB7EA1"/>
    <w:rsid w:val="00DC0B63"/>
    <w:rsid w:val="00DC2476"/>
    <w:rsid w:val="00DC326B"/>
    <w:rsid w:val="00DC3519"/>
    <w:rsid w:val="00DC3569"/>
    <w:rsid w:val="00DC3B9E"/>
    <w:rsid w:val="00DC3BE4"/>
    <w:rsid w:val="00DC4BA1"/>
    <w:rsid w:val="00DC51A3"/>
    <w:rsid w:val="00DC595F"/>
    <w:rsid w:val="00DC6CFF"/>
    <w:rsid w:val="00DC744D"/>
    <w:rsid w:val="00DC74C2"/>
    <w:rsid w:val="00DC79AE"/>
    <w:rsid w:val="00DD081D"/>
    <w:rsid w:val="00DD15B8"/>
    <w:rsid w:val="00DD1645"/>
    <w:rsid w:val="00DD1859"/>
    <w:rsid w:val="00DD19C1"/>
    <w:rsid w:val="00DD1B37"/>
    <w:rsid w:val="00DD2E21"/>
    <w:rsid w:val="00DD3165"/>
    <w:rsid w:val="00DD3369"/>
    <w:rsid w:val="00DD3C61"/>
    <w:rsid w:val="00DD4EB6"/>
    <w:rsid w:val="00DD5841"/>
    <w:rsid w:val="00DD6B26"/>
    <w:rsid w:val="00DD7653"/>
    <w:rsid w:val="00DD7776"/>
    <w:rsid w:val="00DE03D9"/>
    <w:rsid w:val="00DE1514"/>
    <w:rsid w:val="00DE1A37"/>
    <w:rsid w:val="00DE1B58"/>
    <w:rsid w:val="00DE296D"/>
    <w:rsid w:val="00DE2FE8"/>
    <w:rsid w:val="00DE3169"/>
    <w:rsid w:val="00DE3C5D"/>
    <w:rsid w:val="00DE420C"/>
    <w:rsid w:val="00DE4AE4"/>
    <w:rsid w:val="00DE4D7E"/>
    <w:rsid w:val="00DE56A9"/>
    <w:rsid w:val="00DE5732"/>
    <w:rsid w:val="00DE6A1A"/>
    <w:rsid w:val="00DE6D84"/>
    <w:rsid w:val="00DE6FFB"/>
    <w:rsid w:val="00DF11DE"/>
    <w:rsid w:val="00DF16CA"/>
    <w:rsid w:val="00DF1EC7"/>
    <w:rsid w:val="00DF26A2"/>
    <w:rsid w:val="00DF3501"/>
    <w:rsid w:val="00DF3D6F"/>
    <w:rsid w:val="00DF6684"/>
    <w:rsid w:val="00DF6989"/>
    <w:rsid w:val="00DF6D3E"/>
    <w:rsid w:val="00DF76C2"/>
    <w:rsid w:val="00DF780B"/>
    <w:rsid w:val="00E002E7"/>
    <w:rsid w:val="00E006B5"/>
    <w:rsid w:val="00E0142A"/>
    <w:rsid w:val="00E0158E"/>
    <w:rsid w:val="00E01672"/>
    <w:rsid w:val="00E01755"/>
    <w:rsid w:val="00E01930"/>
    <w:rsid w:val="00E0207B"/>
    <w:rsid w:val="00E024F1"/>
    <w:rsid w:val="00E02A2F"/>
    <w:rsid w:val="00E02CCB"/>
    <w:rsid w:val="00E02D89"/>
    <w:rsid w:val="00E034CF"/>
    <w:rsid w:val="00E03903"/>
    <w:rsid w:val="00E03BFE"/>
    <w:rsid w:val="00E04151"/>
    <w:rsid w:val="00E06815"/>
    <w:rsid w:val="00E0690B"/>
    <w:rsid w:val="00E073BA"/>
    <w:rsid w:val="00E07648"/>
    <w:rsid w:val="00E0786A"/>
    <w:rsid w:val="00E0793C"/>
    <w:rsid w:val="00E07EE4"/>
    <w:rsid w:val="00E1077E"/>
    <w:rsid w:val="00E10EE6"/>
    <w:rsid w:val="00E115AC"/>
    <w:rsid w:val="00E11D0C"/>
    <w:rsid w:val="00E11F2E"/>
    <w:rsid w:val="00E12201"/>
    <w:rsid w:val="00E12BEC"/>
    <w:rsid w:val="00E13262"/>
    <w:rsid w:val="00E139CB"/>
    <w:rsid w:val="00E13E10"/>
    <w:rsid w:val="00E14858"/>
    <w:rsid w:val="00E14CCD"/>
    <w:rsid w:val="00E15088"/>
    <w:rsid w:val="00E152C5"/>
    <w:rsid w:val="00E153CF"/>
    <w:rsid w:val="00E16589"/>
    <w:rsid w:val="00E16995"/>
    <w:rsid w:val="00E16F72"/>
    <w:rsid w:val="00E17E53"/>
    <w:rsid w:val="00E17E79"/>
    <w:rsid w:val="00E2009B"/>
    <w:rsid w:val="00E200A4"/>
    <w:rsid w:val="00E20BDE"/>
    <w:rsid w:val="00E20F42"/>
    <w:rsid w:val="00E20F9B"/>
    <w:rsid w:val="00E210F5"/>
    <w:rsid w:val="00E215C8"/>
    <w:rsid w:val="00E22D29"/>
    <w:rsid w:val="00E2328F"/>
    <w:rsid w:val="00E23780"/>
    <w:rsid w:val="00E23FC0"/>
    <w:rsid w:val="00E2411C"/>
    <w:rsid w:val="00E2453A"/>
    <w:rsid w:val="00E25446"/>
    <w:rsid w:val="00E25FE4"/>
    <w:rsid w:val="00E263F5"/>
    <w:rsid w:val="00E26747"/>
    <w:rsid w:val="00E27200"/>
    <w:rsid w:val="00E27500"/>
    <w:rsid w:val="00E2756C"/>
    <w:rsid w:val="00E27A05"/>
    <w:rsid w:val="00E30288"/>
    <w:rsid w:val="00E30BF8"/>
    <w:rsid w:val="00E314C1"/>
    <w:rsid w:val="00E317DF"/>
    <w:rsid w:val="00E31F2E"/>
    <w:rsid w:val="00E3258D"/>
    <w:rsid w:val="00E330AB"/>
    <w:rsid w:val="00E33426"/>
    <w:rsid w:val="00E33B45"/>
    <w:rsid w:val="00E343FF"/>
    <w:rsid w:val="00E352AD"/>
    <w:rsid w:val="00E3538B"/>
    <w:rsid w:val="00E353E5"/>
    <w:rsid w:val="00E357EE"/>
    <w:rsid w:val="00E3771E"/>
    <w:rsid w:val="00E37841"/>
    <w:rsid w:val="00E40BD0"/>
    <w:rsid w:val="00E414FE"/>
    <w:rsid w:val="00E416E1"/>
    <w:rsid w:val="00E41B9F"/>
    <w:rsid w:val="00E42738"/>
    <w:rsid w:val="00E42942"/>
    <w:rsid w:val="00E44A91"/>
    <w:rsid w:val="00E44E07"/>
    <w:rsid w:val="00E453B4"/>
    <w:rsid w:val="00E4611D"/>
    <w:rsid w:val="00E4784D"/>
    <w:rsid w:val="00E4793B"/>
    <w:rsid w:val="00E507D9"/>
    <w:rsid w:val="00E50994"/>
    <w:rsid w:val="00E51982"/>
    <w:rsid w:val="00E51AEC"/>
    <w:rsid w:val="00E52033"/>
    <w:rsid w:val="00E520CE"/>
    <w:rsid w:val="00E5234E"/>
    <w:rsid w:val="00E559B3"/>
    <w:rsid w:val="00E55C8A"/>
    <w:rsid w:val="00E56779"/>
    <w:rsid w:val="00E56C87"/>
    <w:rsid w:val="00E56EAE"/>
    <w:rsid w:val="00E57159"/>
    <w:rsid w:val="00E572C4"/>
    <w:rsid w:val="00E6019E"/>
    <w:rsid w:val="00E602E2"/>
    <w:rsid w:val="00E606A7"/>
    <w:rsid w:val="00E61AFF"/>
    <w:rsid w:val="00E61B1E"/>
    <w:rsid w:val="00E6223A"/>
    <w:rsid w:val="00E63553"/>
    <w:rsid w:val="00E635F4"/>
    <w:rsid w:val="00E63F9A"/>
    <w:rsid w:val="00E64242"/>
    <w:rsid w:val="00E64280"/>
    <w:rsid w:val="00E64389"/>
    <w:rsid w:val="00E64612"/>
    <w:rsid w:val="00E64821"/>
    <w:rsid w:val="00E6569A"/>
    <w:rsid w:val="00E66260"/>
    <w:rsid w:val="00E669A8"/>
    <w:rsid w:val="00E66A98"/>
    <w:rsid w:val="00E670E3"/>
    <w:rsid w:val="00E6716E"/>
    <w:rsid w:val="00E672EC"/>
    <w:rsid w:val="00E678F7"/>
    <w:rsid w:val="00E67AA2"/>
    <w:rsid w:val="00E702AC"/>
    <w:rsid w:val="00E71063"/>
    <w:rsid w:val="00E72197"/>
    <w:rsid w:val="00E72637"/>
    <w:rsid w:val="00E7308D"/>
    <w:rsid w:val="00E736D1"/>
    <w:rsid w:val="00E73B1F"/>
    <w:rsid w:val="00E7400B"/>
    <w:rsid w:val="00E7453A"/>
    <w:rsid w:val="00E74E63"/>
    <w:rsid w:val="00E75580"/>
    <w:rsid w:val="00E75800"/>
    <w:rsid w:val="00E75B79"/>
    <w:rsid w:val="00E75EA5"/>
    <w:rsid w:val="00E767E5"/>
    <w:rsid w:val="00E76C09"/>
    <w:rsid w:val="00E779B7"/>
    <w:rsid w:val="00E77A64"/>
    <w:rsid w:val="00E77A79"/>
    <w:rsid w:val="00E80BE1"/>
    <w:rsid w:val="00E80F80"/>
    <w:rsid w:val="00E81BF5"/>
    <w:rsid w:val="00E82656"/>
    <w:rsid w:val="00E82660"/>
    <w:rsid w:val="00E82ACB"/>
    <w:rsid w:val="00E82ADC"/>
    <w:rsid w:val="00E836CD"/>
    <w:rsid w:val="00E846A3"/>
    <w:rsid w:val="00E846F8"/>
    <w:rsid w:val="00E8506D"/>
    <w:rsid w:val="00E85BBF"/>
    <w:rsid w:val="00E85F71"/>
    <w:rsid w:val="00E868D4"/>
    <w:rsid w:val="00E87655"/>
    <w:rsid w:val="00E877AE"/>
    <w:rsid w:val="00E87DD3"/>
    <w:rsid w:val="00E900C4"/>
    <w:rsid w:val="00E913B5"/>
    <w:rsid w:val="00E91975"/>
    <w:rsid w:val="00E91BC4"/>
    <w:rsid w:val="00E92762"/>
    <w:rsid w:val="00E92B9C"/>
    <w:rsid w:val="00E94C6A"/>
    <w:rsid w:val="00E9536D"/>
    <w:rsid w:val="00E96044"/>
    <w:rsid w:val="00E96979"/>
    <w:rsid w:val="00E96A34"/>
    <w:rsid w:val="00E97769"/>
    <w:rsid w:val="00E97A27"/>
    <w:rsid w:val="00E97D58"/>
    <w:rsid w:val="00EA031E"/>
    <w:rsid w:val="00EA086F"/>
    <w:rsid w:val="00EA0899"/>
    <w:rsid w:val="00EA0F56"/>
    <w:rsid w:val="00EA0FD5"/>
    <w:rsid w:val="00EA13BA"/>
    <w:rsid w:val="00EA1662"/>
    <w:rsid w:val="00EA1F56"/>
    <w:rsid w:val="00EA265B"/>
    <w:rsid w:val="00EA3134"/>
    <w:rsid w:val="00EA34D1"/>
    <w:rsid w:val="00EA35C7"/>
    <w:rsid w:val="00EA37AC"/>
    <w:rsid w:val="00EA3F5B"/>
    <w:rsid w:val="00EA48C8"/>
    <w:rsid w:val="00EA5453"/>
    <w:rsid w:val="00EA566E"/>
    <w:rsid w:val="00EA5801"/>
    <w:rsid w:val="00EA5D79"/>
    <w:rsid w:val="00EA6959"/>
    <w:rsid w:val="00EA6C6E"/>
    <w:rsid w:val="00EA6D15"/>
    <w:rsid w:val="00EA776C"/>
    <w:rsid w:val="00EA7EA2"/>
    <w:rsid w:val="00EB03E4"/>
    <w:rsid w:val="00EB0990"/>
    <w:rsid w:val="00EB16B2"/>
    <w:rsid w:val="00EB2532"/>
    <w:rsid w:val="00EB2ED8"/>
    <w:rsid w:val="00EB341D"/>
    <w:rsid w:val="00EB3740"/>
    <w:rsid w:val="00EB39B4"/>
    <w:rsid w:val="00EB3DA7"/>
    <w:rsid w:val="00EB3EE7"/>
    <w:rsid w:val="00EB401F"/>
    <w:rsid w:val="00EB50F0"/>
    <w:rsid w:val="00EB58A5"/>
    <w:rsid w:val="00EB62B8"/>
    <w:rsid w:val="00EB63C9"/>
    <w:rsid w:val="00EB6455"/>
    <w:rsid w:val="00EB6781"/>
    <w:rsid w:val="00EB6D9F"/>
    <w:rsid w:val="00EB74D7"/>
    <w:rsid w:val="00EB78D8"/>
    <w:rsid w:val="00EB79E1"/>
    <w:rsid w:val="00EB7AAE"/>
    <w:rsid w:val="00EB7FCE"/>
    <w:rsid w:val="00EC0050"/>
    <w:rsid w:val="00EC08ED"/>
    <w:rsid w:val="00EC0EC0"/>
    <w:rsid w:val="00EC1BCA"/>
    <w:rsid w:val="00EC20F5"/>
    <w:rsid w:val="00EC2D64"/>
    <w:rsid w:val="00EC377F"/>
    <w:rsid w:val="00EC3BE2"/>
    <w:rsid w:val="00EC42EE"/>
    <w:rsid w:val="00EC483D"/>
    <w:rsid w:val="00EC48D1"/>
    <w:rsid w:val="00EC4F70"/>
    <w:rsid w:val="00EC56BD"/>
    <w:rsid w:val="00EC59A0"/>
    <w:rsid w:val="00EC61C9"/>
    <w:rsid w:val="00EC696C"/>
    <w:rsid w:val="00EC6C38"/>
    <w:rsid w:val="00EC707B"/>
    <w:rsid w:val="00ED039D"/>
    <w:rsid w:val="00ED0939"/>
    <w:rsid w:val="00ED0C60"/>
    <w:rsid w:val="00ED1613"/>
    <w:rsid w:val="00ED204B"/>
    <w:rsid w:val="00ED21FE"/>
    <w:rsid w:val="00ED279E"/>
    <w:rsid w:val="00ED2A9C"/>
    <w:rsid w:val="00ED40E2"/>
    <w:rsid w:val="00ED44B9"/>
    <w:rsid w:val="00ED5D6B"/>
    <w:rsid w:val="00ED71F1"/>
    <w:rsid w:val="00EE02A3"/>
    <w:rsid w:val="00EE0B19"/>
    <w:rsid w:val="00EE0F99"/>
    <w:rsid w:val="00EE1031"/>
    <w:rsid w:val="00EE10E0"/>
    <w:rsid w:val="00EE1921"/>
    <w:rsid w:val="00EE2080"/>
    <w:rsid w:val="00EE271C"/>
    <w:rsid w:val="00EE38C8"/>
    <w:rsid w:val="00EE43F3"/>
    <w:rsid w:val="00EE48F5"/>
    <w:rsid w:val="00EE52DF"/>
    <w:rsid w:val="00EE5E93"/>
    <w:rsid w:val="00EE754C"/>
    <w:rsid w:val="00EF04A8"/>
    <w:rsid w:val="00EF0908"/>
    <w:rsid w:val="00EF0D50"/>
    <w:rsid w:val="00EF1519"/>
    <w:rsid w:val="00EF1700"/>
    <w:rsid w:val="00EF1944"/>
    <w:rsid w:val="00EF2AD4"/>
    <w:rsid w:val="00EF30F5"/>
    <w:rsid w:val="00EF5115"/>
    <w:rsid w:val="00EF516A"/>
    <w:rsid w:val="00EF529C"/>
    <w:rsid w:val="00EF5A18"/>
    <w:rsid w:val="00EF5CE1"/>
    <w:rsid w:val="00EF6349"/>
    <w:rsid w:val="00EF74BC"/>
    <w:rsid w:val="00EF77B2"/>
    <w:rsid w:val="00EF79D0"/>
    <w:rsid w:val="00EF7ADD"/>
    <w:rsid w:val="00F00847"/>
    <w:rsid w:val="00F00B41"/>
    <w:rsid w:val="00F01B5B"/>
    <w:rsid w:val="00F02359"/>
    <w:rsid w:val="00F0284F"/>
    <w:rsid w:val="00F0285B"/>
    <w:rsid w:val="00F02A14"/>
    <w:rsid w:val="00F03212"/>
    <w:rsid w:val="00F03487"/>
    <w:rsid w:val="00F03B21"/>
    <w:rsid w:val="00F03D5A"/>
    <w:rsid w:val="00F04DD5"/>
    <w:rsid w:val="00F04E67"/>
    <w:rsid w:val="00F04F2F"/>
    <w:rsid w:val="00F050D9"/>
    <w:rsid w:val="00F058A4"/>
    <w:rsid w:val="00F065FD"/>
    <w:rsid w:val="00F06CC2"/>
    <w:rsid w:val="00F078D4"/>
    <w:rsid w:val="00F07B76"/>
    <w:rsid w:val="00F07DEF"/>
    <w:rsid w:val="00F11A28"/>
    <w:rsid w:val="00F12291"/>
    <w:rsid w:val="00F138AD"/>
    <w:rsid w:val="00F13EB6"/>
    <w:rsid w:val="00F148A4"/>
    <w:rsid w:val="00F153ED"/>
    <w:rsid w:val="00F1579F"/>
    <w:rsid w:val="00F15F18"/>
    <w:rsid w:val="00F164B3"/>
    <w:rsid w:val="00F16D67"/>
    <w:rsid w:val="00F16F6B"/>
    <w:rsid w:val="00F17580"/>
    <w:rsid w:val="00F17BDF"/>
    <w:rsid w:val="00F21388"/>
    <w:rsid w:val="00F21581"/>
    <w:rsid w:val="00F2197B"/>
    <w:rsid w:val="00F219EB"/>
    <w:rsid w:val="00F225A3"/>
    <w:rsid w:val="00F225ED"/>
    <w:rsid w:val="00F236A2"/>
    <w:rsid w:val="00F24215"/>
    <w:rsid w:val="00F2544C"/>
    <w:rsid w:val="00F27308"/>
    <w:rsid w:val="00F273B9"/>
    <w:rsid w:val="00F27603"/>
    <w:rsid w:val="00F3006C"/>
    <w:rsid w:val="00F3099A"/>
    <w:rsid w:val="00F30DFD"/>
    <w:rsid w:val="00F31104"/>
    <w:rsid w:val="00F31E50"/>
    <w:rsid w:val="00F32EE3"/>
    <w:rsid w:val="00F3371E"/>
    <w:rsid w:val="00F33A2E"/>
    <w:rsid w:val="00F33EE6"/>
    <w:rsid w:val="00F34863"/>
    <w:rsid w:val="00F34A58"/>
    <w:rsid w:val="00F34F20"/>
    <w:rsid w:val="00F35956"/>
    <w:rsid w:val="00F35AFA"/>
    <w:rsid w:val="00F35C6D"/>
    <w:rsid w:val="00F36E38"/>
    <w:rsid w:val="00F37230"/>
    <w:rsid w:val="00F37A66"/>
    <w:rsid w:val="00F405F8"/>
    <w:rsid w:val="00F40600"/>
    <w:rsid w:val="00F4077C"/>
    <w:rsid w:val="00F40DB6"/>
    <w:rsid w:val="00F41194"/>
    <w:rsid w:val="00F4141C"/>
    <w:rsid w:val="00F41AB8"/>
    <w:rsid w:val="00F42DC5"/>
    <w:rsid w:val="00F42E10"/>
    <w:rsid w:val="00F43E46"/>
    <w:rsid w:val="00F453D5"/>
    <w:rsid w:val="00F458C7"/>
    <w:rsid w:val="00F45A2D"/>
    <w:rsid w:val="00F46ECF"/>
    <w:rsid w:val="00F474A5"/>
    <w:rsid w:val="00F50837"/>
    <w:rsid w:val="00F50C8A"/>
    <w:rsid w:val="00F52527"/>
    <w:rsid w:val="00F52DFB"/>
    <w:rsid w:val="00F54E29"/>
    <w:rsid w:val="00F5532E"/>
    <w:rsid w:val="00F55D61"/>
    <w:rsid w:val="00F56A15"/>
    <w:rsid w:val="00F56B8E"/>
    <w:rsid w:val="00F56CA0"/>
    <w:rsid w:val="00F56F90"/>
    <w:rsid w:val="00F57220"/>
    <w:rsid w:val="00F60E5F"/>
    <w:rsid w:val="00F611CD"/>
    <w:rsid w:val="00F6221B"/>
    <w:rsid w:val="00F62522"/>
    <w:rsid w:val="00F6275C"/>
    <w:rsid w:val="00F629D9"/>
    <w:rsid w:val="00F62BA2"/>
    <w:rsid w:val="00F6363F"/>
    <w:rsid w:val="00F63822"/>
    <w:rsid w:val="00F638D4"/>
    <w:rsid w:val="00F63D70"/>
    <w:rsid w:val="00F63F77"/>
    <w:rsid w:val="00F65041"/>
    <w:rsid w:val="00F651B3"/>
    <w:rsid w:val="00F655AB"/>
    <w:rsid w:val="00F65653"/>
    <w:rsid w:val="00F65C60"/>
    <w:rsid w:val="00F65FA9"/>
    <w:rsid w:val="00F667F1"/>
    <w:rsid w:val="00F66941"/>
    <w:rsid w:val="00F669B4"/>
    <w:rsid w:val="00F66B11"/>
    <w:rsid w:val="00F674B9"/>
    <w:rsid w:val="00F70148"/>
    <w:rsid w:val="00F70921"/>
    <w:rsid w:val="00F70A0E"/>
    <w:rsid w:val="00F712AD"/>
    <w:rsid w:val="00F713CF"/>
    <w:rsid w:val="00F718DB"/>
    <w:rsid w:val="00F71EA8"/>
    <w:rsid w:val="00F71FB6"/>
    <w:rsid w:val="00F72238"/>
    <w:rsid w:val="00F7278A"/>
    <w:rsid w:val="00F72A2B"/>
    <w:rsid w:val="00F73F95"/>
    <w:rsid w:val="00F73FAF"/>
    <w:rsid w:val="00F7416C"/>
    <w:rsid w:val="00F74BA4"/>
    <w:rsid w:val="00F751C2"/>
    <w:rsid w:val="00F75211"/>
    <w:rsid w:val="00F7545E"/>
    <w:rsid w:val="00F7561A"/>
    <w:rsid w:val="00F7610B"/>
    <w:rsid w:val="00F76322"/>
    <w:rsid w:val="00F76669"/>
    <w:rsid w:val="00F76F31"/>
    <w:rsid w:val="00F800D4"/>
    <w:rsid w:val="00F8047F"/>
    <w:rsid w:val="00F80A54"/>
    <w:rsid w:val="00F80D47"/>
    <w:rsid w:val="00F819F8"/>
    <w:rsid w:val="00F81A12"/>
    <w:rsid w:val="00F81DDF"/>
    <w:rsid w:val="00F82943"/>
    <w:rsid w:val="00F8352F"/>
    <w:rsid w:val="00F83B3E"/>
    <w:rsid w:val="00F83F22"/>
    <w:rsid w:val="00F840BB"/>
    <w:rsid w:val="00F861E4"/>
    <w:rsid w:val="00F86DDB"/>
    <w:rsid w:val="00F86F45"/>
    <w:rsid w:val="00F8714D"/>
    <w:rsid w:val="00F87354"/>
    <w:rsid w:val="00F877F6"/>
    <w:rsid w:val="00F90090"/>
    <w:rsid w:val="00F908A9"/>
    <w:rsid w:val="00F928E5"/>
    <w:rsid w:val="00F92E27"/>
    <w:rsid w:val="00F933B1"/>
    <w:rsid w:val="00F93A1F"/>
    <w:rsid w:val="00F93D74"/>
    <w:rsid w:val="00F95229"/>
    <w:rsid w:val="00F95946"/>
    <w:rsid w:val="00F966C5"/>
    <w:rsid w:val="00F973BC"/>
    <w:rsid w:val="00F97677"/>
    <w:rsid w:val="00F977DA"/>
    <w:rsid w:val="00F97928"/>
    <w:rsid w:val="00F97C14"/>
    <w:rsid w:val="00FA09E8"/>
    <w:rsid w:val="00FA0A08"/>
    <w:rsid w:val="00FA0C47"/>
    <w:rsid w:val="00FA17E4"/>
    <w:rsid w:val="00FA1AA5"/>
    <w:rsid w:val="00FA1B04"/>
    <w:rsid w:val="00FA24FF"/>
    <w:rsid w:val="00FA2EBC"/>
    <w:rsid w:val="00FA34D4"/>
    <w:rsid w:val="00FA3597"/>
    <w:rsid w:val="00FA4254"/>
    <w:rsid w:val="00FA5A34"/>
    <w:rsid w:val="00FA6026"/>
    <w:rsid w:val="00FA61F6"/>
    <w:rsid w:val="00FA6976"/>
    <w:rsid w:val="00FA7128"/>
    <w:rsid w:val="00FA7268"/>
    <w:rsid w:val="00FA7929"/>
    <w:rsid w:val="00FA7D9C"/>
    <w:rsid w:val="00FB0C9C"/>
    <w:rsid w:val="00FB1736"/>
    <w:rsid w:val="00FB1DB9"/>
    <w:rsid w:val="00FB2271"/>
    <w:rsid w:val="00FB2E05"/>
    <w:rsid w:val="00FB33E8"/>
    <w:rsid w:val="00FB35CD"/>
    <w:rsid w:val="00FB3AA2"/>
    <w:rsid w:val="00FB4C3F"/>
    <w:rsid w:val="00FB563E"/>
    <w:rsid w:val="00FB68A7"/>
    <w:rsid w:val="00FB6C61"/>
    <w:rsid w:val="00FC0584"/>
    <w:rsid w:val="00FC0605"/>
    <w:rsid w:val="00FC0740"/>
    <w:rsid w:val="00FC1028"/>
    <w:rsid w:val="00FC1466"/>
    <w:rsid w:val="00FC1A82"/>
    <w:rsid w:val="00FC1D1F"/>
    <w:rsid w:val="00FC2222"/>
    <w:rsid w:val="00FC2A96"/>
    <w:rsid w:val="00FC2D03"/>
    <w:rsid w:val="00FC2F94"/>
    <w:rsid w:val="00FC3031"/>
    <w:rsid w:val="00FC3EA0"/>
    <w:rsid w:val="00FC3FF1"/>
    <w:rsid w:val="00FC41F6"/>
    <w:rsid w:val="00FC4E7D"/>
    <w:rsid w:val="00FC5691"/>
    <w:rsid w:val="00FC5BF8"/>
    <w:rsid w:val="00FC61AD"/>
    <w:rsid w:val="00FC61DE"/>
    <w:rsid w:val="00FC707F"/>
    <w:rsid w:val="00FC7686"/>
    <w:rsid w:val="00FC79F7"/>
    <w:rsid w:val="00FC7C09"/>
    <w:rsid w:val="00FD056F"/>
    <w:rsid w:val="00FD05D9"/>
    <w:rsid w:val="00FD0AA4"/>
    <w:rsid w:val="00FD121D"/>
    <w:rsid w:val="00FD1506"/>
    <w:rsid w:val="00FD163F"/>
    <w:rsid w:val="00FD1DAE"/>
    <w:rsid w:val="00FD24D0"/>
    <w:rsid w:val="00FD3179"/>
    <w:rsid w:val="00FD35DF"/>
    <w:rsid w:val="00FD42FD"/>
    <w:rsid w:val="00FD49BE"/>
    <w:rsid w:val="00FD65BA"/>
    <w:rsid w:val="00FD68CD"/>
    <w:rsid w:val="00FD7710"/>
    <w:rsid w:val="00FD7C3D"/>
    <w:rsid w:val="00FE197B"/>
    <w:rsid w:val="00FE1A47"/>
    <w:rsid w:val="00FE2E9A"/>
    <w:rsid w:val="00FE3171"/>
    <w:rsid w:val="00FE34E4"/>
    <w:rsid w:val="00FE3E59"/>
    <w:rsid w:val="00FE4081"/>
    <w:rsid w:val="00FE4BB6"/>
    <w:rsid w:val="00FE4D0B"/>
    <w:rsid w:val="00FE4DBA"/>
    <w:rsid w:val="00FE4F9B"/>
    <w:rsid w:val="00FE5E9F"/>
    <w:rsid w:val="00FE5F9F"/>
    <w:rsid w:val="00FE7391"/>
    <w:rsid w:val="00FE7DB8"/>
    <w:rsid w:val="00FF0208"/>
    <w:rsid w:val="00FF04B9"/>
    <w:rsid w:val="00FF09A2"/>
    <w:rsid w:val="00FF0BD5"/>
    <w:rsid w:val="00FF160F"/>
    <w:rsid w:val="00FF24DE"/>
    <w:rsid w:val="00FF3506"/>
    <w:rsid w:val="00FF39C1"/>
    <w:rsid w:val="00FF503F"/>
    <w:rsid w:val="00FF5104"/>
    <w:rsid w:val="00FF596C"/>
    <w:rsid w:val="00FF5C98"/>
    <w:rsid w:val="00FF5F73"/>
    <w:rsid w:val="00FF69CA"/>
    <w:rsid w:val="00FF6B98"/>
    <w:rsid w:val="00FF7B30"/>
    <w:rsid w:val="00FF7FCA"/>
  </w:rsids>
  <m:mathPr>
    <m:mathFont m:val="Cambria Math"/>
    <m:brkBin m:val="before"/>
    <m:brkBinSub m:val="--"/>
    <m:smallFrac m:val="0"/>
    <m:dispDef/>
    <m:lMargin m:val="0"/>
    <m:rMargin m:val="0"/>
    <m:defJc m:val="centerGroup"/>
    <m:wrapIndent m:val="1440"/>
    <m:intLim m:val="subSup"/>
    <m:naryLim m:val="undOvr"/>
  </m:mathPr>
  <w:themeFontLang w:val="es-GT"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B2691EF"/>
  <w15:docId w15:val="{3D98A53F-5F61-4B62-A335-99F32B0323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G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55D61"/>
    <w:pPr>
      <w:spacing w:after="0" w:line="240" w:lineRule="auto"/>
      <w:jc w:val="both"/>
    </w:pPr>
    <w:rPr>
      <w:rFonts w:ascii="Times New Roman" w:eastAsiaTheme="minorEastAsia" w:hAnsi="Times New Roman"/>
      <w:szCs w:val="24"/>
      <w:lang w:eastAsia="es-ES"/>
    </w:rPr>
  </w:style>
  <w:style w:type="paragraph" w:styleId="Ttulo1">
    <w:name w:val="heading 1"/>
    <w:basedOn w:val="Normal"/>
    <w:next w:val="Normal"/>
    <w:link w:val="Ttulo1Car"/>
    <w:uiPriority w:val="9"/>
    <w:qFormat/>
    <w:rsid w:val="0032588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064BA9"/>
    <w:pPr>
      <w:keepNext/>
      <w:keepLines/>
      <w:spacing w:before="120" w:after="12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semiHidden/>
    <w:unhideWhenUsed/>
    <w:qFormat/>
    <w:rsid w:val="000C0470"/>
    <w:pPr>
      <w:keepNext/>
      <w:keepLines/>
      <w:spacing w:before="40"/>
      <w:outlineLvl w:val="2"/>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rsid w:val="00064BA9"/>
    <w:rPr>
      <w:rFonts w:asciiTheme="majorHAnsi" w:eastAsiaTheme="majorEastAsia" w:hAnsiTheme="majorHAnsi" w:cstheme="majorBidi"/>
      <w:b/>
      <w:bCs/>
      <w:color w:val="4F81BD" w:themeColor="accent1"/>
      <w:sz w:val="26"/>
      <w:szCs w:val="26"/>
      <w:lang w:val="es-ES_tradnl" w:eastAsia="es-ES"/>
    </w:rPr>
  </w:style>
  <w:style w:type="paragraph" w:styleId="Prrafodelista">
    <w:name w:val="List Paragraph"/>
    <w:basedOn w:val="Normal"/>
    <w:uiPriority w:val="34"/>
    <w:qFormat/>
    <w:rsid w:val="00E97769"/>
    <w:pPr>
      <w:ind w:left="720"/>
      <w:contextualSpacing/>
    </w:pPr>
    <w:rPr>
      <w:rFonts w:eastAsiaTheme="minorHAnsi"/>
      <w:sz w:val="16"/>
      <w:szCs w:val="22"/>
      <w:lang w:eastAsia="en-US"/>
    </w:rPr>
  </w:style>
  <w:style w:type="paragraph" w:customStyle="1" w:styleId="Default">
    <w:name w:val="Default"/>
    <w:rsid w:val="00D43598"/>
    <w:pPr>
      <w:autoSpaceDE w:val="0"/>
      <w:autoSpaceDN w:val="0"/>
      <w:adjustRightInd w:val="0"/>
      <w:spacing w:after="0" w:line="240" w:lineRule="auto"/>
    </w:pPr>
    <w:rPr>
      <w:rFonts w:ascii="Times New Roman" w:hAnsi="Times New Roman" w:cs="Times New Roman"/>
      <w:color w:val="000000"/>
      <w:sz w:val="24"/>
      <w:szCs w:val="24"/>
    </w:rPr>
  </w:style>
  <w:style w:type="table" w:styleId="Tablaconcuadrcula">
    <w:name w:val="Table Grid"/>
    <w:basedOn w:val="Tablanormal"/>
    <w:uiPriority w:val="59"/>
    <w:rsid w:val="00D435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FD68CD"/>
    <w:pPr>
      <w:spacing w:before="100" w:beforeAutospacing="1" w:after="100" w:afterAutospacing="1"/>
    </w:pPr>
    <w:rPr>
      <w:rFonts w:cs="Times New Roman"/>
      <w:lang w:eastAsia="es-GT"/>
    </w:rPr>
  </w:style>
  <w:style w:type="paragraph" w:styleId="Textonotapie">
    <w:name w:val="footnote text"/>
    <w:basedOn w:val="Normal"/>
    <w:link w:val="TextonotapieCar"/>
    <w:uiPriority w:val="99"/>
    <w:semiHidden/>
    <w:unhideWhenUsed/>
    <w:rsid w:val="000B5E1C"/>
    <w:rPr>
      <w:rFonts w:eastAsiaTheme="minorHAnsi"/>
      <w:sz w:val="20"/>
      <w:szCs w:val="20"/>
      <w:lang w:eastAsia="en-US"/>
    </w:rPr>
  </w:style>
  <w:style w:type="character" w:customStyle="1" w:styleId="TextonotapieCar">
    <w:name w:val="Texto nota pie Car"/>
    <w:basedOn w:val="Fuentedeprrafopredeter"/>
    <w:link w:val="Textonotapie"/>
    <w:uiPriority w:val="99"/>
    <w:semiHidden/>
    <w:rsid w:val="000B5E1C"/>
    <w:rPr>
      <w:sz w:val="20"/>
      <w:szCs w:val="20"/>
    </w:rPr>
  </w:style>
  <w:style w:type="character" w:styleId="Refdenotaalpie">
    <w:name w:val="footnote reference"/>
    <w:basedOn w:val="Fuentedeprrafopredeter"/>
    <w:uiPriority w:val="99"/>
    <w:semiHidden/>
    <w:unhideWhenUsed/>
    <w:rsid w:val="000B5E1C"/>
    <w:rPr>
      <w:vertAlign w:val="superscript"/>
    </w:rPr>
  </w:style>
  <w:style w:type="table" w:styleId="Cuadrculaclara-nfasis1">
    <w:name w:val="Light Grid Accent 1"/>
    <w:basedOn w:val="Tablanormal"/>
    <w:uiPriority w:val="62"/>
    <w:rsid w:val="000B5E1C"/>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Sombreadoclaro-nfasis5">
    <w:name w:val="Light Shading Accent 5"/>
    <w:basedOn w:val="Tablanormal"/>
    <w:uiPriority w:val="60"/>
    <w:rsid w:val="000B5E1C"/>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paragraph" w:styleId="Sinespaciado">
    <w:name w:val="No Spacing"/>
    <w:link w:val="SinespaciadoCar"/>
    <w:uiPriority w:val="1"/>
    <w:qFormat/>
    <w:rsid w:val="000B5E1C"/>
    <w:pPr>
      <w:spacing w:after="0" w:line="240" w:lineRule="auto"/>
    </w:pPr>
  </w:style>
  <w:style w:type="character" w:customStyle="1" w:styleId="SinespaciadoCar">
    <w:name w:val="Sin espaciado Car"/>
    <w:basedOn w:val="Fuentedeprrafopredeter"/>
    <w:link w:val="Sinespaciado"/>
    <w:uiPriority w:val="1"/>
    <w:locked/>
    <w:rsid w:val="000B5E1C"/>
  </w:style>
  <w:style w:type="paragraph" w:styleId="Ttulo">
    <w:name w:val="Title"/>
    <w:basedOn w:val="Normal"/>
    <w:next w:val="Normal"/>
    <w:link w:val="TtuloCar"/>
    <w:uiPriority w:val="10"/>
    <w:qFormat/>
    <w:rsid w:val="0032588B"/>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lang w:eastAsia="es-GT"/>
    </w:rPr>
  </w:style>
  <w:style w:type="character" w:customStyle="1" w:styleId="TtuloCar">
    <w:name w:val="Título Car"/>
    <w:basedOn w:val="Fuentedeprrafopredeter"/>
    <w:link w:val="Ttulo"/>
    <w:uiPriority w:val="10"/>
    <w:rsid w:val="0032588B"/>
    <w:rPr>
      <w:rFonts w:asciiTheme="majorHAnsi" w:eastAsiaTheme="majorEastAsia" w:hAnsiTheme="majorHAnsi" w:cstheme="majorBidi"/>
      <w:color w:val="17365D" w:themeColor="text2" w:themeShade="BF"/>
      <w:spacing w:val="5"/>
      <w:kern w:val="28"/>
      <w:sz w:val="52"/>
      <w:szCs w:val="52"/>
      <w:lang w:eastAsia="es-GT"/>
    </w:rPr>
  </w:style>
  <w:style w:type="paragraph" w:styleId="Subttulo">
    <w:name w:val="Subtitle"/>
    <w:basedOn w:val="Normal"/>
    <w:next w:val="Normal"/>
    <w:link w:val="SubttuloCar"/>
    <w:uiPriority w:val="11"/>
    <w:qFormat/>
    <w:rsid w:val="0032588B"/>
    <w:pPr>
      <w:numPr>
        <w:ilvl w:val="1"/>
      </w:numPr>
      <w:spacing w:after="200" w:line="276" w:lineRule="auto"/>
    </w:pPr>
    <w:rPr>
      <w:rFonts w:asciiTheme="majorHAnsi" w:eastAsiaTheme="majorEastAsia" w:hAnsiTheme="majorHAnsi" w:cstheme="majorBidi"/>
      <w:i/>
      <w:iCs/>
      <w:color w:val="4F81BD" w:themeColor="accent1"/>
      <w:spacing w:val="15"/>
      <w:lang w:eastAsia="es-GT"/>
    </w:rPr>
  </w:style>
  <w:style w:type="character" w:customStyle="1" w:styleId="SubttuloCar">
    <w:name w:val="Subtítulo Car"/>
    <w:basedOn w:val="Fuentedeprrafopredeter"/>
    <w:link w:val="Subttulo"/>
    <w:uiPriority w:val="11"/>
    <w:rsid w:val="0032588B"/>
    <w:rPr>
      <w:rFonts w:asciiTheme="majorHAnsi" w:eastAsiaTheme="majorEastAsia" w:hAnsiTheme="majorHAnsi" w:cstheme="majorBidi"/>
      <w:i/>
      <w:iCs/>
      <w:color w:val="4F81BD" w:themeColor="accent1"/>
      <w:spacing w:val="15"/>
      <w:sz w:val="24"/>
      <w:szCs w:val="24"/>
      <w:lang w:eastAsia="es-GT"/>
    </w:rPr>
  </w:style>
  <w:style w:type="character" w:customStyle="1" w:styleId="Ttulo1Car">
    <w:name w:val="Título 1 Car"/>
    <w:basedOn w:val="Fuentedeprrafopredeter"/>
    <w:link w:val="Ttulo1"/>
    <w:uiPriority w:val="9"/>
    <w:rsid w:val="0032588B"/>
    <w:rPr>
      <w:rFonts w:asciiTheme="majorHAnsi" w:eastAsiaTheme="majorEastAsia" w:hAnsiTheme="majorHAnsi" w:cstheme="majorBidi"/>
      <w:b/>
      <w:bCs/>
      <w:color w:val="365F91" w:themeColor="accent1" w:themeShade="BF"/>
      <w:sz w:val="28"/>
      <w:szCs w:val="28"/>
      <w:lang w:val="es-ES_tradnl" w:eastAsia="es-ES"/>
    </w:rPr>
  </w:style>
  <w:style w:type="paragraph" w:styleId="TtuloTDC">
    <w:name w:val="TOC Heading"/>
    <w:basedOn w:val="Ttulo1"/>
    <w:next w:val="Normal"/>
    <w:uiPriority w:val="39"/>
    <w:semiHidden/>
    <w:unhideWhenUsed/>
    <w:qFormat/>
    <w:rsid w:val="0032588B"/>
    <w:pPr>
      <w:spacing w:line="276" w:lineRule="auto"/>
      <w:outlineLvl w:val="9"/>
    </w:pPr>
    <w:rPr>
      <w:lang w:eastAsia="es-GT"/>
    </w:rPr>
  </w:style>
  <w:style w:type="paragraph" w:styleId="TDC1">
    <w:name w:val="toc 1"/>
    <w:basedOn w:val="Normal"/>
    <w:next w:val="Normal"/>
    <w:autoRedefine/>
    <w:uiPriority w:val="39"/>
    <w:unhideWhenUsed/>
    <w:rsid w:val="00594050"/>
    <w:pPr>
      <w:tabs>
        <w:tab w:val="left" w:pos="440"/>
        <w:tab w:val="right" w:leader="dot" w:pos="9394"/>
      </w:tabs>
      <w:spacing w:after="100"/>
    </w:pPr>
    <w:rPr>
      <w:rFonts w:eastAsiaTheme="majorEastAsia" w:cs="Times New Roman"/>
      <w:b/>
      <w:bCs/>
      <w:noProof/>
    </w:rPr>
  </w:style>
  <w:style w:type="paragraph" w:styleId="TDC2">
    <w:name w:val="toc 2"/>
    <w:basedOn w:val="Normal"/>
    <w:next w:val="Normal"/>
    <w:autoRedefine/>
    <w:uiPriority w:val="39"/>
    <w:unhideWhenUsed/>
    <w:rsid w:val="0054409D"/>
    <w:pPr>
      <w:tabs>
        <w:tab w:val="left" w:pos="880"/>
        <w:tab w:val="right" w:leader="dot" w:pos="9356"/>
      </w:tabs>
      <w:spacing w:after="100"/>
      <w:ind w:left="709" w:hanging="567"/>
    </w:pPr>
  </w:style>
  <w:style w:type="character" w:styleId="Hipervnculo">
    <w:name w:val="Hyperlink"/>
    <w:basedOn w:val="Fuentedeprrafopredeter"/>
    <w:uiPriority w:val="99"/>
    <w:unhideWhenUsed/>
    <w:rsid w:val="0032588B"/>
    <w:rPr>
      <w:color w:val="0000FF" w:themeColor="hyperlink"/>
      <w:u w:val="single"/>
    </w:rPr>
  </w:style>
  <w:style w:type="paragraph" w:styleId="Encabezado">
    <w:name w:val="header"/>
    <w:basedOn w:val="Normal"/>
    <w:link w:val="EncabezadoCar"/>
    <w:uiPriority w:val="99"/>
    <w:unhideWhenUsed/>
    <w:rsid w:val="00AC45C7"/>
    <w:pPr>
      <w:tabs>
        <w:tab w:val="center" w:pos="4419"/>
        <w:tab w:val="right" w:pos="8838"/>
      </w:tabs>
    </w:pPr>
  </w:style>
  <w:style w:type="character" w:customStyle="1" w:styleId="EncabezadoCar">
    <w:name w:val="Encabezado Car"/>
    <w:basedOn w:val="Fuentedeprrafopredeter"/>
    <w:link w:val="Encabezado"/>
    <w:uiPriority w:val="99"/>
    <w:rsid w:val="00AC45C7"/>
    <w:rPr>
      <w:rFonts w:eastAsiaTheme="minorEastAsia"/>
      <w:sz w:val="24"/>
      <w:szCs w:val="24"/>
      <w:lang w:val="es-ES_tradnl" w:eastAsia="es-ES"/>
    </w:rPr>
  </w:style>
  <w:style w:type="paragraph" w:styleId="Piedepgina">
    <w:name w:val="footer"/>
    <w:basedOn w:val="Normal"/>
    <w:link w:val="PiedepginaCar"/>
    <w:uiPriority w:val="99"/>
    <w:unhideWhenUsed/>
    <w:rsid w:val="00AC45C7"/>
    <w:pPr>
      <w:tabs>
        <w:tab w:val="center" w:pos="4419"/>
        <w:tab w:val="right" w:pos="8838"/>
      </w:tabs>
    </w:pPr>
  </w:style>
  <w:style w:type="character" w:customStyle="1" w:styleId="PiedepginaCar">
    <w:name w:val="Pie de página Car"/>
    <w:basedOn w:val="Fuentedeprrafopredeter"/>
    <w:link w:val="Piedepgina"/>
    <w:uiPriority w:val="99"/>
    <w:rsid w:val="00AC45C7"/>
    <w:rPr>
      <w:rFonts w:eastAsiaTheme="minorEastAsia"/>
      <w:sz w:val="24"/>
      <w:szCs w:val="24"/>
      <w:lang w:val="es-ES_tradnl" w:eastAsia="es-ES"/>
    </w:rPr>
  </w:style>
  <w:style w:type="paragraph" w:styleId="Textodeglobo">
    <w:name w:val="Balloon Text"/>
    <w:basedOn w:val="Normal"/>
    <w:link w:val="TextodegloboCar"/>
    <w:uiPriority w:val="99"/>
    <w:semiHidden/>
    <w:unhideWhenUsed/>
    <w:rsid w:val="002B7931"/>
    <w:rPr>
      <w:rFonts w:ascii="Tahoma" w:hAnsi="Tahoma" w:cs="Tahoma"/>
      <w:sz w:val="16"/>
      <w:szCs w:val="16"/>
    </w:rPr>
  </w:style>
  <w:style w:type="character" w:customStyle="1" w:styleId="TextodegloboCar">
    <w:name w:val="Texto de globo Car"/>
    <w:basedOn w:val="Fuentedeprrafopredeter"/>
    <w:link w:val="Textodeglobo"/>
    <w:uiPriority w:val="99"/>
    <w:semiHidden/>
    <w:rsid w:val="002B7931"/>
    <w:rPr>
      <w:rFonts w:ascii="Tahoma" w:eastAsiaTheme="minorEastAsia" w:hAnsi="Tahoma" w:cs="Tahoma"/>
      <w:sz w:val="16"/>
      <w:szCs w:val="16"/>
      <w:lang w:val="es-ES_tradnl" w:eastAsia="es-ES"/>
    </w:rPr>
  </w:style>
  <w:style w:type="character" w:customStyle="1" w:styleId="Ttulo3Car">
    <w:name w:val="Título 3 Car"/>
    <w:basedOn w:val="Fuentedeprrafopredeter"/>
    <w:link w:val="Ttulo3"/>
    <w:uiPriority w:val="9"/>
    <w:semiHidden/>
    <w:rsid w:val="000C0470"/>
    <w:rPr>
      <w:rFonts w:asciiTheme="majorHAnsi" w:eastAsiaTheme="majorEastAsia" w:hAnsiTheme="majorHAnsi" w:cstheme="majorBidi"/>
      <w:color w:val="243F60" w:themeColor="accent1" w:themeShade="7F"/>
      <w:sz w:val="24"/>
      <w:szCs w:val="24"/>
      <w:lang w:val="es-ES_tradnl" w:eastAsia="es-ES"/>
    </w:rPr>
  </w:style>
  <w:style w:type="paragraph" w:customStyle="1" w:styleId="Ttulo11">
    <w:name w:val="Título 11"/>
    <w:basedOn w:val="Normal"/>
    <w:rsid w:val="000C0470"/>
    <w:pPr>
      <w:numPr>
        <w:numId w:val="23"/>
      </w:numPr>
    </w:pPr>
  </w:style>
  <w:style w:type="paragraph" w:customStyle="1" w:styleId="Ttulo21">
    <w:name w:val="Título 21"/>
    <w:basedOn w:val="Normal"/>
    <w:rsid w:val="000C0470"/>
    <w:pPr>
      <w:numPr>
        <w:ilvl w:val="1"/>
        <w:numId w:val="23"/>
      </w:numPr>
    </w:pPr>
  </w:style>
  <w:style w:type="paragraph" w:customStyle="1" w:styleId="Ttulo31">
    <w:name w:val="Título 31"/>
    <w:basedOn w:val="Normal"/>
    <w:rsid w:val="000C0470"/>
    <w:pPr>
      <w:numPr>
        <w:ilvl w:val="2"/>
        <w:numId w:val="23"/>
      </w:numPr>
    </w:pPr>
  </w:style>
  <w:style w:type="paragraph" w:customStyle="1" w:styleId="Ttulo41">
    <w:name w:val="Título 41"/>
    <w:basedOn w:val="Normal"/>
    <w:rsid w:val="000C0470"/>
    <w:pPr>
      <w:numPr>
        <w:ilvl w:val="3"/>
        <w:numId w:val="23"/>
      </w:numPr>
    </w:pPr>
  </w:style>
  <w:style w:type="paragraph" w:customStyle="1" w:styleId="Ttulo51">
    <w:name w:val="Título 51"/>
    <w:basedOn w:val="Normal"/>
    <w:rsid w:val="000C0470"/>
    <w:pPr>
      <w:numPr>
        <w:ilvl w:val="4"/>
        <w:numId w:val="23"/>
      </w:numPr>
    </w:pPr>
  </w:style>
  <w:style w:type="paragraph" w:customStyle="1" w:styleId="Ttulo61">
    <w:name w:val="Título 61"/>
    <w:basedOn w:val="Normal"/>
    <w:rsid w:val="000C0470"/>
    <w:pPr>
      <w:numPr>
        <w:ilvl w:val="5"/>
        <w:numId w:val="23"/>
      </w:numPr>
    </w:pPr>
  </w:style>
  <w:style w:type="paragraph" w:customStyle="1" w:styleId="Ttulo71">
    <w:name w:val="Título 71"/>
    <w:basedOn w:val="Normal"/>
    <w:rsid w:val="000C0470"/>
    <w:pPr>
      <w:numPr>
        <w:ilvl w:val="6"/>
        <w:numId w:val="23"/>
      </w:numPr>
    </w:pPr>
  </w:style>
  <w:style w:type="paragraph" w:customStyle="1" w:styleId="Ttulo81">
    <w:name w:val="Título 81"/>
    <w:basedOn w:val="Normal"/>
    <w:rsid w:val="000C0470"/>
    <w:pPr>
      <w:numPr>
        <w:ilvl w:val="7"/>
        <w:numId w:val="23"/>
      </w:numPr>
    </w:pPr>
  </w:style>
  <w:style w:type="paragraph" w:customStyle="1" w:styleId="Ttulo91">
    <w:name w:val="Título 91"/>
    <w:basedOn w:val="Normal"/>
    <w:rsid w:val="000C0470"/>
    <w:pPr>
      <w:numPr>
        <w:ilvl w:val="8"/>
        <w:numId w:val="23"/>
      </w:numPr>
    </w:pPr>
  </w:style>
  <w:style w:type="paragraph" w:styleId="TDC3">
    <w:name w:val="toc 3"/>
    <w:basedOn w:val="Normal"/>
    <w:next w:val="Normal"/>
    <w:autoRedefine/>
    <w:uiPriority w:val="39"/>
    <w:unhideWhenUsed/>
    <w:rsid w:val="0054409D"/>
    <w:pPr>
      <w:tabs>
        <w:tab w:val="left" w:pos="1134"/>
        <w:tab w:val="right" w:leader="dot" w:pos="9394"/>
      </w:tabs>
      <w:spacing w:after="100"/>
      <w:ind w:left="1134" w:hanging="708"/>
    </w:pPr>
  </w:style>
  <w:style w:type="paragraph" w:customStyle="1" w:styleId="BodyText2Sgl">
    <w:name w:val="Body Text 2 Sgl"/>
    <w:basedOn w:val="Normal"/>
    <w:qFormat/>
    <w:rsid w:val="00EE52DF"/>
    <w:pPr>
      <w:spacing w:after="240"/>
      <w:ind w:firstLine="720"/>
    </w:pPr>
    <w:rPr>
      <w:rFonts w:eastAsiaTheme="minorHAnsi"/>
      <w:sz w:val="20"/>
      <w:lang w:val="en-US" w:eastAsia="en-US"/>
    </w:rPr>
  </w:style>
  <w:style w:type="paragraph" w:styleId="Textoindependiente">
    <w:name w:val="Body Text"/>
    <w:basedOn w:val="Normal"/>
    <w:link w:val="TextoindependienteCar"/>
    <w:uiPriority w:val="99"/>
    <w:unhideWhenUsed/>
    <w:rsid w:val="00EE52DF"/>
    <w:pPr>
      <w:spacing w:after="120" w:line="259" w:lineRule="auto"/>
    </w:pPr>
    <w:rPr>
      <w:rFonts w:eastAsiaTheme="minorHAnsi"/>
      <w:szCs w:val="22"/>
      <w:lang w:eastAsia="en-US"/>
    </w:rPr>
  </w:style>
  <w:style w:type="character" w:customStyle="1" w:styleId="TextoindependienteCar">
    <w:name w:val="Texto independiente Car"/>
    <w:basedOn w:val="Fuentedeprrafopredeter"/>
    <w:link w:val="Textoindependiente"/>
    <w:uiPriority w:val="99"/>
    <w:rsid w:val="00EE52DF"/>
  </w:style>
  <w:style w:type="character" w:styleId="Refdecomentario">
    <w:name w:val="annotation reference"/>
    <w:basedOn w:val="Fuentedeprrafopredeter"/>
    <w:uiPriority w:val="99"/>
    <w:semiHidden/>
    <w:unhideWhenUsed/>
    <w:rsid w:val="00082E65"/>
    <w:rPr>
      <w:sz w:val="16"/>
      <w:szCs w:val="16"/>
    </w:rPr>
  </w:style>
  <w:style w:type="paragraph" w:styleId="Textocomentario">
    <w:name w:val="annotation text"/>
    <w:basedOn w:val="Normal"/>
    <w:link w:val="TextocomentarioCar"/>
    <w:uiPriority w:val="99"/>
    <w:semiHidden/>
    <w:unhideWhenUsed/>
    <w:rsid w:val="00082E65"/>
    <w:rPr>
      <w:sz w:val="20"/>
      <w:szCs w:val="20"/>
    </w:rPr>
  </w:style>
  <w:style w:type="character" w:customStyle="1" w:styleId="TextocomentarioCar">
    <w:name w:val="Texto comentario Car"/>
    <w:basedOn w:val="Fuentedeprrafopredeter"/>
    <w:link w:val="Textocomentario"/>
    <w:uiPriority w:val="99"/>
    <w:semiHidden/>
    <w:rsid w:val="00082E65"/>
    <w:rPr>
      <w:rFonts w:eastAsiaTheme="minorEastAsia"/>
      <w:sz w:val="20"/>
      <w:szCs w:val="20"/>
      <w:lang w:val="es-ES_tradnl" w:eastAsia="es-ES"/>
    </w:rPr>
  </w:style>
  <w:style w:type="paragraph" w:styleId="Asuntodelcomentario">
    <w:name w:val="annotation subject"/>
    <w:basedOn w:val="Textocomentario"/>
    <w:next w:val="Textocomentario"/>
    <w:link w:val="AsuntodelcomentarioCar"/>
    <w:uiPriority w:val="99"/>
    <w:semiHidden/>
    <w:unhideWhenUsed/>
    <w:rsid w:val="00082E65"/>
    <w:rPr>
      <w:b/>
      <w:bCs/>
    </w:rPr>
  </w:style>
  <w:style w:type="character" w:customStyle="1" w:styleId="AsuntodelcomentarioCar">
    <w:name w:val="Asunto del comentario Car"/>
    <w:basedOn w:val="TextocomentarioCar"/>
    <w:link w:val="Asuntodelcomentario"/>
    <w:uiPriority w:val="99"/>
    <w:semiHidden/>
    <w:rsid w:val="00082E65"/>
    <w:rPr>
      <w:rFonts w:eastAsiaTheme="minorEastAsia"/>
      <w:b/>
      <w:bCs/>
      <w:sz w:val="20"/>
      <w:szCs w:val="20"/>
      <w:lang w:val="es-ES_tradnl" w:eastAsia="es-ES"/>
    </w:rPr>
  </w:style>
  <w:style w:type="paragraph" w:styleId="Revisin">
    <w:name w:val="Revision"/>
    <w:hidden/>
    <w:uiPriority w:val="99"/>
    <w:semiHidden/>
    <w:rsid w:val="0054409D"/>
    <w:pPr>
      <w:spacing w:after="0" w:line="240" w:lineRule="auto"/>
    </w:pPr>
    <w:rPr>
      <w:rFonts w:eastAsiaTheme="minorEastAsia"/>
      <w:sz w:val="24"/>
      <w:szCs w:val="24"/>
      <w:lang w:val="es-ES_tradnl" w:eastAsia="es-ES"/>
    </w:rPr>
  </w:style>
  <w:style w:type="table" w:styleId="Tablanormal3">
    <w:name w:val="Plain Table 3"/>
    <w:basedOn w:val="Tablanormal"/>
    <w:uiPriority w:val="43"/>
    <w:rsid w:val="00FD3179"/>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adelista7concolores-nfasis1">
    <w:name w:val="List Table 7 Colorful Accent 1"/>
    <w:basedOn w:val="Tablanormal"/>
    <w:uiPriority w:val="52"/>
    <w:rsid w:val="00FD3179"/>
    <w:pPr>
      <w:spacing w:after="0" w:line="240" w:lineRule="auto"/>
    </w:pPr>
    <w:rPr>
      <w:color w:val="365F91"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F81BD"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F81BD"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F81BD"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F81BD" w:themeColor="accent1"/>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Textodelmarcadordeposicin">
    <w:name w:val="Placeholder Text"/>
    <w:basedOn w:val="Fuentedeprrafopredeter"/>
    <w:uiPriority w:val="99"/>
    <w:semiHidden/>
    <w:rsid w:val="009B0FEE"/>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578699">
      <w:bodyDiv w:val="1"/>
      <w:marLeft w:val="0"/>
      <w:marRight w:val="0"/>
      <w:marTop w:val="0"/>
      <w:marBottom w:val="0"/>
      <w:divBdr>
        <w:top w:val="none" w:sz="0" w:space="0" w:color="auto"/>
        <w:left w:val="none" w:sz="0" w:space="0" w:color="auto"/>
        <w:bottom w:val="none" w:sz="0" w:space="0" w:color="auto"/>
        <w:right w:val="none" w:sz="0" w:space="0" w:color="auto"/>
      </w:divBdr>
    </w:div>
    <w:div w:id="65929884">
      <w:bodyDiv w:val="1"/>
      <w:marLeft w:val="0"/>
      <w:marRight w:val="0"/>
      <w:marTop w:val="0"/>
      <w:marBottom w:val="0"/>
      <w:divBdr>
        <w:top w:val="none" w:sz="0" w:space="0" w:color="auto"/>
        <w:left w:val="none" w:sz="0" w:space="0" w:color="auto"/>
        <w:bottom w:val="none" w:sz="0" w:space="0" w:color="auto"/>
        <w:right w:val="none" w:sz="0" w:space="0" w:color="auto"/>
      </w:divBdr>
    </w:div>
    <w:div w:id="206840615">
      <w:bodyDiv w:val="1"/>
      <w:marLeft w:val="0"/>
      <w:marRight w:val="0"/>
      <w:marTop w:val="0"/>
      <w:marBottom w:val="0"/>
      <w:divBdr>
        <w:top w:val="none" w:sz="0" w:space="0" w:color="auto"/>
        <w:left w:val="none" w:sz="0" w:space="0" w:color="auto"/>
        <w:bottom w:val="none" w:sz="0" w:space="0" w:color="auto"/>
        <w:right w:val="none" w:sz="0" w:space="0" w:color="auto"/>
      </w:divBdr>
    </w:div>
    <w:div w:id="208031668">
      <w:bodyDiv w:val="1"/>
      <w:marLeft w:val="0"/>
      <w:marRight w:val="0"/>
      <w:marTop w:val="0"/>
      <w:marBottom w:val="0"/>
      <w:divBdr>
        <w:top w:val="none" w:sz="0" w:space="0" w:color="auto"/>
        <w:left w:val="none" w:sz="0" w:space="0" w:color="auto"/>
        <w:bottom w:val="none" w:sz="0" w:space="0" w:color="auto"/>
        <w:right w:val="none" w:sz="0" w:space="0" w:color="auto"/>
      </w:divBdr>
    </w:div>
    <w:div w:id="281689898">
      <w:bodyDiv w:val="1"/>
      <w:marLeft w:val="0"/>
      <w:marRight w:val="0"/>
      <w:marTop w:val="0"/>
      <w:marBottom w:val="0"/>
      <w:divBdr>
        <w:top w:val="none" w:sz="0" w:space="0" w:color="auto"/>
        <w:left w:val="none" w:sz="0" w:space="0" w:color="auto"/>
        <w:bottom w:val="none" w:sz="0" w:space="0" w:color="auto"/>
        <w:right w:val="none" w:sz="0" w:space="0" w:color="auto"/>
      </w:divBdr>
    </w:div>
    <w:div w:id="352264132">
      <w:bodyDiv w:val="1"/>
      <w:marLeft w:val="0"/>
      <w:marRight w:val="0"/>
      <w:marTop w:val="0"/>
      <w:marBottom w:val="0"/>
      <w:divBdr>
        <w:top w:val="none" w:sz="0" w:space="0" w:color="auto"/>
        <w:left w:val="none" w:sz="0" w:space="0" w:color="auto"/>
        <w:bottom w:val="none" w:sz="0" w:space="0" w:color="auto"/>
        <w:right w:val="none" w:sz="0" w:space="0" w:color="auto"/>
      </w:divBdr>
    </w:div>
    <w:div w:id="447435137">
      <w:bodyDiv w:val="1"/>
      <w:marLeft w:val="0"/>
      <w:marRight w:val="0"/>
      <w:marTop w:val="0"/>
      <w:marBottom w:val="0"/>
      <w:divBdr>
        <w:top w:val="none" w:sz="0" w:space="0" w:color="auto"/>
        <w:left w:val="none" w:sz="0" w:space="0" w:color="auto"/>
        <w:bottom w:val="none" w:sz="0" w:space="0" w:color="auto"/>
        <w:right w:val="none" w:sz="0" w:space="0" w:color="auto"/>
      </w:divBdr>
    </w:div>
    <w:div w:id="452797015">
      <w:bodyDiv w:val="1"/>
      <w:marLeft w:val="0"/>
      <w:marRight w:val="0"/>
      <w:marTop w:val="0"/>
      <w:marBottom w:val="0"/>
      <w:divBdr>
        <w:top w:val="none" w:sz="0" w:space="0" w:color="auto"/>
        <w:left w:val="none" w:sz="0" w:space="0" w:color="auto"/>
        <w:bottom w:val="none" w:sz="0" w:space="0" w:color="auto"/>
        <w:right w:val="none" w:sz="0" w:space="0" w:color="auto"/>
      </w:divBdr>
    </w:div>
    <w:div w:id="493037860">
      <w:bodyDiv w:val="1"/>
      <w:marLeft w:val="0"/>
      <w:marRight w:val="0"/>
      <w:marTop w:val="0"/>
      <w:marBottom w:val="0"/>
      <w:divBdr>
        <w:top w:val="none" w:sz="0" w:space="0" w:color="auto"/>
        <w:left w:val="none" w:sz="0" w:space="0" w:color="auto"/>
        <w:bottom w:val="none" w:sz="0" w:space="0" w:color="auto"/>
        <w:right w:val="none" w:sz="0" w:space="0" w:color="auto"/>
      </w:divBdr>
    </w:div>
    <w:div w:id="551356417">
      <w:bodyDiv w:val="1"/>
      <w:marLeft w:val="0"/>
      <w:marRight w:val="0"/>
      <w:marTop w:val="0"/>
      <w:marBottom w:val="0"/>
      <w:divBdr>
        <w:top w:val="none" w:sz="0" w:space="0" w:color="auto"/>
        <w:left w:val="none" w:sz="0" w:space="0" w:color="auto"/>
        <w:bottom w:val="none" w:sz="0" w:space="0" w:color="auto"/>
        <w:right w:val="none" w:sz="0" w:space="0" w:color="auto"/>
      </w:divBdr>
    </w:div>
    <w:div w:id="641885873">
      <w:bodyDiv w:val="1"/>
      <w:marLeft w:val="0"/>
      <w:marRight w:val="0"/>
      <w:marTop w:val="0"/>
      <w:marBottom w:val="0"/>
      <w:divBdr>
        <w:top w:val="none" w:sz="0" w:space="0" w:color="auto"/>
        <w:left w:val="none" w:sz="0" w:space="0" w:color="auto"/>
        <w:bottom w:val="none" w:sz="0" w:space="0" w:color="auto"/>
        <w:right w:val="none" w:sz="0" w:space="0" w:color="auto"/>
      </w:divBdr>
    </w:div>
    <w:div w:id="694312612">
      <w:bodyDiv w:val="1"/>
      <w:marLeft w:val="0"/>
      <w:marRight w:val="0"/>
      <w:marTop w:val="0"/>
      <w:marBottom w:val="0"/>
      <w:divBdr>
        <w:top w:val="none" w:sz="0" w:space="0" w:color="auto"/>
        <w:left w:val="none" w:sz="0" w:space="0" w:color="auto"/>
        <w:bottom w:val="none" w:sz="0" w:space="0" w:color="auto"/>
        <w:right w:val="none" w:sz="0" w:space="0" w:color="auto"/>
      </w:divBdr>
    </w:div>
    <w:div w:id="711147682">
      <w:bodyDiv w:val="1"/>
      <w:marLeft w:val="0"/>
      <w:marRight w:val="0"/>
      <w:marTop w:val="0"/>
      <w:marBottom w:val="0"/>
      <w:divBdr>
        <w:top w:val="none" w:sz="0" w:space="0" w:color="auto"/>
        <w:left w:val="none" w:sz="0" w:space="0" w:color="auto"/>
        <w:bottom w:val="none" w:sz="0" w:space="0" w:color="auto"/>
        <w:right w:val="none" w:sz="0" w:space="0" w:color="auto"/>
      </w:divBdr>
    </w:div>
    <w:div w:id="767505616">
      <w:bodyDiv w:val="1"/>
      <w:marLeft w:val="0"/>
      <w:marRight w:val="0"/>
      <w:marTop w:val="0"/>
      <w:marBottom w:val="0"/>
      <w:divBdr>
        <w:top w:val="none" w:sz="0" w:space="0" w:color="auto"/>
        <w:left w:val="none" w:sz="0" w:space="0" w:color="auto"/>
        <w:bottom w:val="none" w:sz="0" w:space="0" w:color="auto"/>
        <w:right w:val="none" w:sz="0" w:space="0" w:color="auto"/>
      </w:divBdr>
    </w:div>
    <w:div w:id="768620205">
      <w:bodyDiv w:val="1"/>
      <w:marLeft w:val="0"/>
      <w:marRight w:val="0"/>
      <w:marTop w:val="0"/>
      <w:marBottom w:val="0"/>
      <w:divBdr>
        <w:top w:val="none" w:sz="0" w:space="0" w:color="auto"/>
        <w:left w:val="none" w:sz="0" w:space="0" w:color="auto"/>
        <w:bottom w:val="none" w:sz="0" w:space="0" w:color="auto"/>
        <w:right w:val="none" w:sz="0" w:space="0" w:color="auto"/>
      </w:divBdr>
    </w:div>
    <w:div w:id="773591794">
      <w:bodyDiv w:val="1"/>
      <w:marLeft w:val="0"/>
      <w:marRight w:val="0"/>
      <w:marTop w:val="0"/>
      <w:marBottom w:val="0"/>
      <w:divBdr>
        <w:top w:val="none" w:sz="0" w:space="0" w:color="auto"/>
        <w:left w:val="none" w:sz="0" w:space="0" w:color="auto"/>
        <w:bottom w:val="none" w:sz="0" w:space="0" w:color="auto"/>
        <w:right w:val="none" w:sz="0" w:space="0" w:color="auto"/>
      </w:divBdr>
    </w:div>
    <w:div w:id="800881172">
      <w:bodyDiv w:val="1"/>
      <w:marLeft w:val="0"/>
      <w:marRight w:val="0"/>
      <w:marTop w:val="0"/>
      <w:marBottom w:val="0"/>
      <w:divBdr>
        <w:top w:val="none" w:sz="0" w:space="0" w:color="auto"/>
        <w:left w:val="none" w:sz="0" w:space="0" w:color="auto"/>
        <w:bottom w:val="none" w:sz="0" w:space="0" w:color="auto"/>
        <w:right w:val="none" w:sz="0" w:space="0" w:color="auto"/>
      </w:divBdr>
    </w:div>
    <w:div w:id="856696186">
      <w:bodyDiv w:val="1"/>
      <w:marLeft w:val="0"/>
      <w:marRight w:val="0"/>
      <w:marTop w:val="0"/>
      <w:marBottom w:val="0"/>
      <w:divBdr>
        <w:top w:val="none" w:sz="0" w:space="0" w:color="auto"/>
        <w:left w:val="none" w:sz="0" w:space="0" w:color="auto"/>
        <w:bottom w:val="none" w:sz="0" w:space="0" w:color="auto"/>
        <w:right w:val="none" w:sz="0" w:space="0" w:color="auto"/>
      </w:divBdr>
    </w:div>
    <w:div w:id="887453560">
      <w:bodyDiv w:val="1"/>
      <w:marLeft w:val="0"/>
      <w:marRight w:val="0"/>
      <w:marTop w:val="0"/>
      <w:marBottom w:val="0"/>
      <w:divBdr>
        <w:top w:val="none" w:sz="0" w:space="0" w:color="auto"/>
        <w:left w:val="none" w:sz="0" w:space="0" w:color="auto"/>
        <w:bottom w:val="none" w:sz="0" w:space="0" w:color="auto"/>
        <w:right w:val="none" w:sz="0" w:space="0" w:color="auto"/>
      </w:divBdr>
    </w:div>
    <w:div w:id="893740511">
      <w:bodyDiv w:val="1"/>
      <w:marLeft w:val="0"/>
      <w:marRight w:val="0"/>
      <w:marTop w:val="0"/>
      <w:marBottom w:val="0"/>
      <w:divBdr>
        <w:top w:val="none" w:sz="0" w:space="0" w:color="auto"/>
        <w:left w:val="none" w:sz="0" w:space="0" w:color="auto"/>
        <w:bottom w:val="none" w:sz="0" w:space="0" w:color="auto"/>
        <w:right w:val="none" w:sz="0" w:space="0" w:color="auto"/>
      </w:divBdr>
    </w:div>
    <w:div w:id="1026370517">
      <w:bodyDiv w:val="1"/>
      <w:marLeft w:val="0"/>
      <w:marRight w:val="0"/>
      <w:marTop w:val="0"/>
      <w:marBottom w:val="0"/>
      <w:divBdr>
        <w:top w:val="none" w:sz="0" w:space="0" w:color="auto"/>
        <w:left w:val="none" w:sz="0" w:space="0" w:color="auto"/>
        <w:bottom w:val="none" w:sz="0" w:space="0" w:color="auto"/>
        <w:right w:val="none" w:sz="0" w:space="0" w:color="auto"/>
      </w:divBdr>
    </w:div>
    <w:div w:id="1036812108">
      <w:bodyDiv w:val="1"/>
      <w:marLeft w:val="0"/>
      <w:marRight w:val="0"/>
      <w:marTop w:val="0"/>
      <w:marBottom w:val="0"/>
      <w:divBdr>
        <w:top w:val="none" w:sz="0" w:space="0" w:color="auto"/>
        <w:left w:val="none" w:sz="0" w:space="0" w:color="auto"/>
        <w:bottom w:val="none" w:sz="0" w:space="0" w:color="auto"/>
        <w:right w:val="none" w:sz="0" w:space="0" w:color="auto"/>
      </w:divBdr>
    </w:div>
    <w:div w:id="1118334656">
      <w:bodyDiv w:val="1"/>
      <w:marLeft w:val="0"/>
      <w:marRight w:val="0"/>
      <w:marTop w:val="0"/>
      <w:marBottom w:val="0"/>
      <w:divBdr>
        <w:top w:val="none" w:sz="0" w:space="0" w:color="auto"/>
        <w:left w:val="none" w:sz="0" w:space="0" w:color="auto"/>
        <w:bottom w:val="none" w:sz="0" w:space="0" w:color="auto"/>
        <w:right w:val="none" w:sz="0" w:space="0" w:color="auto"/>
      </w:divBdr>
    </w:div>
    <w:div w:id="1148786281">
      <w:bodyDiv w:val="1"/>
      <w:marLeft w:val="0"/>
      <w:marRight w:val="0"/>
      <w:marTop w:val="0"/>
      <w:marBottom w:val="0"/>
      <w:divBdr>
        <w:top w:val="none" w:sz="0" w:space="0" w:color="auto"/>
        <w:left w:val="none" w:sz="0" w:space="0" w:color="auto"/>
        <w:bottom w:val="none" w:sz="0" w:space="0" w:color="auto"/>
        <w:right w:val="none" w:sz="0" w:space="0" w:color="auto"/>
      </w:divBdr>
    </w:div>
    <w:div w:id="1209881365">
      <w:bodyDiv w:val="1"/>
      <w:marLeft w:val="0"/>
      <w:marRight w:val="0"/>
      <w:marTop w:val="0"/>
      <w:marBottom w:val="0"/>
      <w:divBdr>
        <w:top w:val="none" w:sz="0" w:space="0" w:color="auto"/>
        <w:left w:val="none" w:sz="0" w:space="0" w:color="auto"/>
        <w:bottom w:val="none" w:sz="0" w:space="0" w:color="auto"/>
        <w:right w:val="none" w:sz="0" w:space="0" w:color="auto"/>
      </w:divBdr>
    </w:div>
    <w:div w:id="1211458198">
      <w:bodyDiv w:val="1"/>
      <w:marLeft w:val="0"/>
      <w:marRight w:val="0"/>
      <w:marTop w:val="0"/>
      <w:marBottom w:val="0"/>
      <w:divBdr>
        <w:top w:val="none" w:sz="0" w:space="0" w:color="auto"/>
        <w:left w:val="none" w:sz="0" w:space="0" w:color="auto"/>
        <w:bottom w:val="none" w:sz="0" w:space="0" w:color="auto"/>
        <w:right w:val="none" w:sz="0" w:space="0" w:color="auto"/>
      </w:divBdr>
    </w:div>
    <w:div w:id="1366055376">
      <w:bodyDiv w:val="1"/>
      <w:marLeft w:val="0"/>
      <w:marRight w:val="0"/>
      <w:marTop w:val="0"/>
      <w:marBottom w:val="0"/>
      <w:divBdr>
        <w:top w:val="none" w:sz="0" w:space="0" w:color="auto"/>
        <w:left w:val="none" w:sz="0" w:space="0" w:color="auto"/>
        <w:bottom w:val="none" w:sz="0" w:space="0" w:color="auto"/>
        <w:right w:val="none" w:sz="0" w:space="0" w:color="auto"/>
      </w:divBdr>
    </w:div>
    <w:div w:id="1388143364">
      <w:bodyDiv w:val="1"/>
      <w:marLeft w:val="0"/>
      <w:marRight w:val="0"/>
      <w:marTop w:val="0"/>
      <w:marBottom w:val="0"/>
      <w:divBdr>
        <w:top w:val="none" w:sz="0" w:space="0" w:color="auto"/>
        <w:left w:val="none" w:sz="0" w:space="0" w:color="auto"/>
        <w:bottom w:val="none" w:sz="0" w:space="0" w:color="auto"/>
        <w:right w:val="none" w:sz="0" w:space="0" w:color="auto"/>
      </w:divBdr>
    </w:div>
    <w:div w:id="1452939949">
      <w:bodyDiv w:val="1"/>
      <w:marLeft w:val="0"/>
      <w:marRight w:val="0"/>
      <w:marTop w:val="0"/>
      <w:marBottom w:val="0"/>
      <w:divBdr>
        <w:top w:val="none" w:sz="0" w:space="0" w:color="auto"/>
        <w:left w:val="none" w:sz="0" w:space="0" w:color="auto"/>
        <w:bottom w:val="none" w:sz="0" w:space="0" w:color="auto"/>
        <w:right w:val="none" w:sz="0" w:space="0" w:color="auto"/>
      </w:divBdr>
    </w:div>
    <w:div w:id="1731222267">
      <w:bodyDiv w:val="1"/>
      <w:marLeft w:val="0"/>
      <w:marRight w:val="0"/>
      <w:marTop w:val="0"/>
      <w:marBottom w:val="0"/>
      <w:divBdr>
        <w:top w:val="none" w:sz="0" w:space="0" w:color="auto"/>
        <w:left w:val="none" w:sz="0" w:space="0" w:color="auto"/>
        <w:bottom w:val="none" w:sz="0" w:space="0" w:color="auto"/>
        <w:right w:val="none" w:sz="0" w:space="0" w:color="auto"/>
      </w:divBdr>
    </w:div>
    <w:div w:id="1790857938">
      <w:bodyDiv w:val="1"/>
      <w:marLeft w:val="0"/>
      <w:marRight w:val="0"/>
      <w:marTop w:val="0"/>
      <w:marBottom w:val="0"/>
      <w:divBdr>
        <w:top w:val="none" w:sz="0" w:space="0" w:color="auto"/>
        <w:left w:val="none" w:sz="0" w:space="0" w:color="auto"/>
        <w:bottom w:val="none" w:sz="0" w:space="0" w:color="auto"/>
        <w:right w:val="none" w:sz="0" w:space="0" w:color="auto"/>
      </w:divBdr>
      <w:divsChild>
        <w:div w:id="891186904">
          <w:marLeft w:val="547"/>
          <w:marRight w:val="0"/>
          <w:marTop w:val="0"/>
          <w:marBottom w:val="0"/>
          <w:divBdr>
            <w:top w:val="none" w:sz="0" w:space="0" w:color="auto"/>
            <w:left w:val="none" w:sz="0" w:space="0" w:color="auto"/>
            <w:bottom w:val="none" w:sz="0" w:space="0" w:color="auto"/>
            <w:right w:val="none" w:sz="0" w:space="0" w:color="auto"/>
          </w:divBdr>
        </w:div>
      </w:divsChild>
    </w:div>
    <w:div w:id="1834835104">
      <w:bodyDiv w:val="1"/>
      <w:marLeft w:val="0"/>
      <w:marRight w:val="0"/>
      <w:marTop w:val="0"/>
      <w:marBottom w:val="0"/>
      <w:divBdr>
        <w:top w:val="none" w:sz="0" w:space="0" w:color="auto"/>
        <w:left w:val="none" w:sz="0" w:space="0" w:color="auto"/>
        <w:bottom w:val="none" w:sz="0" w:space="0" w:color="auto"/>
        <w:right w:val="none" w:sz="0" w:space="0" w:color="auto"/>
      </w:divBdr>
    </w:div>
    <w:div w:id="1874077858">
      <w:bodyDiv w:val="1"/>
      <w:marLeft w:val="0"/>
      <w:marRight w:val="0"/>
      <w:marTop w:val="0"/>
      <w:marBottom w:val="0"/>
      <w:divBdr>
        <w:top w:val="none" w:sz="0" w:space="0" w:color="auto"/>
        <w:left w:val="none" w:sz="0" w:space="0" w:color="auto"/>
        <w:bottom w:val="none" w:sz="0" w:space="0" w:color="auto"/>
        <w:right w:val="none" w:sz="0" w:space="0" w:color="auto"/>
      </w:divBdr>
    </w:div>
    <w:div w:id="1905945296">
      <w:bodyDiv w:val="1"/>
      <w:marLeft w:val="0"/>
      <w:marRight w:val="0"/>
      <w:marTop w:val="0"/>
      <w:marBottom w:val="0"/>
      <w:divBdr>
        <w:top w:val="none" w:sz="0" w:space="0" w:color="auto"/>
        <w:left w:val="none" w:sz="0" w:space="0" w:color="auto"/>
        <w:bottom w:val="none" w:sz="0" w:space="0" w:color="auto"/>
        <w:right w:val="none" w:sz="0" w:space="0" w:color="auto"/>
      </w:divBdr>
    </w:div>
    <w:div w:id="1940335299">
      <w:bodyDiv w:val="1"/>
      <w:marLeft w:val="0"/>
      <w:marRight w:val="0"/>
      <w:marTop w:val="0"/>
      <w:marBottom w:val="0"/>
      <w:divBdr>
        <w:top w:val="none" w:sz="0" w:space="0" w:color="auto"/>
        <w:left w:val="none" w:sz="0" w:space="0" w:color="auto"/>
        <w:bottom w:val="none" w:sz="0" w:space="0" w:color="auto"/>
        <w:right w:val="none" w:sz="0" w:space="0" w:color="auto"/>
      </w:divBdr>
    </w:div>
    <w:div w:id="2031370925">
      <w:bodyDiv w:val="1"/>
      <w:marLeft w:val="0"/>
      <w:marRight w:val="0"/>
      <w:marTop w:val="0"/>
      <w:marBottom w:val="0"/>
      <w:divBdr>
        <w:top w:val="none" w:sz="0" w:space="0" w:color="auto"/>
        <w:left w:val="none" w:sz="0" w:space="0" w:color="auto"/>
        <w:bottom w:val="none" w:sz="0" w:space="0" w:color="auto"/>
        <w:right w:val="none" w:sz="0" w:space="0" w:color="auto"/>
      </w:divBdr>
    </w:div>
    <w:div w:id="2063139057">
      <w:bodyDiv w:val="1"/>
      <w:marLeft w:val="0"/>
      <w:marRight w:val="0"/>
      <w:marTop w:val="0"/>
      <w:marBottom w:val="0"/>
      <w:divBdr>
        <w:top w:val="none" w:sz="0" w:space="0" w:color="auto"/>
        <w:left w:val="none" w:sz="0" w:space="0" w:color="auto"/>
        <w:bottom w:val="none" w:sz="0" w:space="0" w:color="auto"/>
        <w:right w:val="none" w:sz="0" w:space="0" w:color="auto"/>
      </w:divBdr>
    </w:div>
    <w:div w:id="2132359836">
      <w:bodyDiv w:val="1"/>
      <w:marLeft w:val="0"/>
      <w:marRight w:val="0"/>
      <w:marTop w:val="0"/>
      <w:marBottom w:val="0"/>
      <w:divBdr>
        <w:top w:val="none" w:sz="0" w:space="0" w:color="auto"/>
        <w:left w:val="none" w:sz="0" w:space="0" w:color="auto"/>
        <w:bottom w:val="none" w:sz="0" w:space="0" w:color="auto"/>
        <w:right w:val="none" w:sz="0" w:space="0" w:color="auto"/>
      </w:divBdr>
    </w:div>
    <w:div w:id="21418477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microsoft.com/office/2007/relationships/diagramDrawing" Target="diagrams/drawing1.xml"/><Relationship Id="rId18" Type="http://schemas.openxmlformats.org/officeDocument/2006/relationships/diagramLayout" Target="diagrams/layout2.xml"/><Relationship Id="rId26" Type="http://schemas.openxmlformats.org/officeDocument/2006/relationships/chart" Target="charts/chart4.xml"/><Relationship Id="rId39" Type="http://schemas.openxmlformats.org/officeDocument/2006/relationships/diagramLayout" Target="diagrams/layout4.xml"/><Relationship Id="rId21" Type="http://schemas.microsoft.com/office/2007/relationships/diagramDrawing" Target="diagrams/drawing2.xml"/><Relationship Id="rId34" Type="http://schemas.openxmlformats.org/officeDocument/2006/relationships/chart" Target="charts/chart7.xml"/><Relationship Id="rId42" Type="http://schemas.microsoft.com/office/2007/relationships/diagramDrawing" Target="diagrams/drawing4.xml"/><Relationship Id="rId47" Type="http://schemas.openxmlformats.org/officeDocument/2006/relationships/diagramQuickStyle" Target="diagrams/quickStyle5.xml"/><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3.xml"/><Relationship Id="rId29" Type="http://schemas.openxmlformats.org/officeDocument/2006/relationships/diagramLayout" Target="diagrams/layout3.xml"/><Relationship Id="rId11" Type="http://schemas.openxmlformats.org/officeDocument/2006/relationships/diagramQuickStyle" Target="diagrams/quickStyle1.xml"/><Relationship Id="rId24" Type="http://schemas.openxmlformats.org/officeDocument/2006/relationships/header" Target="header2.xml"/><Relationship Id="rId32" Type="http://schemas.microsoft.com/office/2007/relationships/diagramDrawing" Target="diagrams/drawing3.xml"/><Relationship Id="rId37" Type="http://schemas.openxmlformats.org/officeDocument/2006/relationships/chart" Target="charts/chart10.xml"/><Relationship Id="rId40" Type="http://schemas.openxmlformats.org/officeDocument/2006/relationships/diagramQuickStyle" Target="diagrams/quickStyle4.xml"/><Relationship Id="rId45" Type="http://schemas.openxmlformats.org/officeDocument/2006/relationships/diagramData" Target="diagrams/data5.xml"/><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footer" Target="footer1.xml"/><Relationship Id="rId28" Type="http://schemas.openxmlformats.org/officeDocument/2006/relationships/diagramData" Target="diagrams/data3.xml"/><Relationship Id="rId36" Type="http://schemas.openxmlformats.org/officeDocument/2006/relationships/chart" Target="charts/chart9.xml"/><Relationship Id="rId49" Type="http://schemas.microsoft.com/office/2007/relationships/diagramDrawing" Target="diagrams/drawing5.xml"/><Relationship Id="rId10" Type="http://schemas.openxmlformats.org/officeDocument/2006/relationships/diagramLayout" Target="diagrams/layout1.xml"/><Relationship Id="rId19" Type="http://schemas.openxmlformats.org/officeDocument/2006/relationships/diagramQuickStyle" Target="diagrams/quickStyle2.xml"/><Relationship Id="rId31" Type="http://schemas.openxmlformats.org/officeDocument/2006/relationships/diagramColors" Target="diagrams/colors3.xml"/><Relationship Id="rId44" Type="http://schemas.openxmlformats.org/officeDocument/2006/relationships/chart" Target="charts/chart12.xml"/><Relationship Id="rId4" Type="http://schemas.openxmlformats.org/officeDocument/2006/relationships/settings" Target="settings.xml"/><Relationship Id="rId9" Type="http://schemas.openxmlformats.org/officeDocument/2006/relationships/diagramData" Target="diagrams/data1.xml"/><Relationship Id="rId14" Type="http://schemas.openxmlformats.org/officeDocument/2006/relationships/chart" Target="charts/chart1.xml"/><Relationship Id="rId22" Type="http://schemas.openxmlformats.org/officeDocument/2006/relationships/header" Target="header1.xml"/><Relationship Id="rId27" Type="http://schemas.openxmlformats.org/officeDocument/2006/relationships/chart" Target="charts/chart5.xml"/><Relationship Id="rId30" Type="http://schemas.openxmlformats.org/officeDocument/2006/relationships/diagramQuickStyle" Target="diagrams/quickStyle3.xml"/><Relationship Id="rId35" Type="http://schemas.openxmlformats.org/officeDocument/2006/relationships/chart" Target="charts/chart8.xml"/><Relationship Id="rId43" Type="http://schemas.openxmlformats.org/officeDocument/2006/relationships/chart" Target="charts/chart11.xml"/><Relationship Id="rId48" Type="http://schemas.openxmlformats.org/officeDocument/2006/relationships/diagramColors" Target="diagrams/colors5.xml"/><Relationship Id="rId8" Type="http://schemas.openxmlformats.org/officeDocument/2006/relationships/image" Target="media/image1.pn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diagramColors" Target="diagrams/colors1.xml"/><Relationship Id="rId17" Type="http://schemas.openxmlformats.org/officeDocument/2006/relationships/diagramData" Target="diagrams/data2.xml"/><Relationship Id="rId25" Type="http://schemas.openxmlformats.org/officeDocument/2006/relationships/footer" Target="footer2.xml"/><Relationship Id="rId33" Type="http://schemas.openxmlformats.org/officeDocument/2006/relationships/chart" Target="charts/chart6.xml"/><Relationship Id="rId38" Type="http://schemas.openxmlformats.org/officeDocument/2006/relationships/diagramData" Target="diagrams/data4.xml"/><Relationship Id="rId46" Type="http://schemas.openxmlformats.org/officeDocument/2006/relationships/diagramLayout" Target="diagrams/layout5.xml"/><Relationship Id="rId20" Type="http://schemas.openxmlformats.org/officeDocument/2006/relationships/diagramColors" Target="diagrams/colors2.xml"/><Relationship Id="rId41" Type="http://schemas.openxmlformats.org/officeDocument/2006/relationships/diagramColors" Target="diagrams/colors4.xml"/><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5" Type="http://schemas.openxmlformats.org/officeDocument/2006/relationships/chartUserShapes" Target="../drawings/drawing1.xml"/><Relationship Id="rId4"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11.xml"/><Relationship Id="rId1" Type="http://schemas.microsoft.com/office/2011/relationships/chartStyle" Target="style11.xml"/><Relationship Id="rId5" Type="http://schemas.openxmlformats.org/officeDocument/2006/relationships/chartUserShapes" Target="../drawings/drawing9.xml"/><Relationship Id="rId4" Type="http://schemas.openxmlformats.org/officeDocument/2006/relationships/package" Target="../embeddings/Microsoft_Excel_Worksheet10.xlsx"/></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11.xlsx"/><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chartUserShapes" Target="../drawings/drawing10.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2.xm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3.xml"/><Relationship Id="rId1" Type="http://schemas.microsoft.com/office/2011/relationships/chartStyle" Target="style3.xml"/><Relationship Id="rId5" Type="http://schemas.openxmlformats.org/officeDocument/2006/relationships/chartUserShapes" Target="../drawings/drawing3.xml"/><Relationship Id="rId4"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4.xml"/><Relationship Id="rId1" Type="http://schemas.microsoft.com/office/2011/relationships/chartStyle" Target="style4.xml"/><Relationship Id="rId5" Type="http://schemas.openxmlformats.org/officeDocument/2006/relationships/chartUserShapes" Target="../drawings/drawing4.xml"/><Relationship Id="rId4"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5.xml"/><Relationship Id="rId1" Type="http://schemas.microsoft.com/office/2011/relationships/chartStyle" Target="style5.xml"/><Relationship Id="rId5" Type="http://schemas.openxmlformats.org/officeDocument/2006/relationships/chartUserShapes" Target="../drawings/drawing5.xml"/><Relationship Id="rId4"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6.xml"/><Relationship Id="rId1" Type="http://schemas.microsoft.com/office/2011/relationships/chartStyle" Target="style6.xml"/><Relationship Id="rId5" Type="http://schemas.openxmlformats.org/officeDocument/2006/relationships/chartUserShapes" Target="../drawings/drawing6.xml"/><Relationship Id="rId4"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chartUserShapes" Target="../drawings/drawing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chartUserShapes" Target="../drawings/drawing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00" b="1" i="0" u="none" strike="noStrike" kern="1200" cap="none" spc="0" normalizeH="0" baseline="0">
                <a:solidFill>
                  <a:sysClr val="windowText" lastClr="000000"/>
                </a:solidFill>
                <a:latin typeface="Times New Roman" panose="02020603050405020304" pitchFamily="18" charset="0"/>
                <a:ea typeface="+mj-ea"/>
                <a:cs typeface="Times New Roman" panose="02020603050405020304" pitchFamily="18" charset="0"/>
              </a:defRPr>
            </a:pPr>
            <a:r>
              <a:rPr lang="es-GT" sz="1200"/>
              <a:t>Ingresos</a:t>
            </a:r>
            <a:r>
              <a:rPr lang="es-GT" sz="1200" baseline="0"/>
              <a:t> Totales</a:t>
            </a:r>
          </a:p>
          <a:p>
            <a:pPr>
              <a:defRPr sz="900">
                <a:solidFill>
                  <a:sysClr val="windowText" lastClr="000000"/>
                </a:solidFill>
              </a:defRPr>
            </a:pPr>
            <a:r>
              <a:rPr lang="es-GT" sz="1100" baseline="0"/>
              <a:t>Variación interanual acumulada</a:t>
            </a:r>
          </a:p>
          <a:p>
            <a:pPr>
              <a:defRPr sz="900">
                <a:solidFill>
                  <a:sysClr val="windowText" lastClr="000000"/>
                </a:solidFill>
              </a:defRPr>
            </a:pPr>
            <a:r>
              <a:rPr lang="es-GT" sz="1000" b="0" baseline="0"/>
              <a:t>En porcentajes</a:t>
            </a:r>
            <a:endParaRPr lang="es-GT" sz="1000" b="0"/>
          </a:p>
        </c:rich>
      </c:tx>
      <c:layout>
        <c:manualLayout>
          <c:xMode val="edge"/>
          <c:yMode val="edge"/>
          <c:x val="0.12619780219780219"/>
          <c:y val="0"/>
        </c:manualLayout>
      </c:layout>
      <c:overlay val="0"/>
      <c:spPr>
        <a:noFill/>
        <a:ln>
          <a:noFill/>
        </a:ln>
        <a:effectLst/>
      </c:spPr>
      <c:txPr>
        <a:bodyPr rot="0" spcFirstLastPara="1" vertOverflow="ellipsis" vert="horz" wrap="square" anchor="ctr" anchorCtr="1"/>
        <a:lstStyle/>
        <a:p>
          <a:pPr>
            <a:defRPr sz="900" b="1" i="0" u="none" strike="noStrike" kern="1200" cap="none" spc="0" normalizeH="0" baseline="0">
              <a:solidFill>
                <a:sysClr val="windowText" lastClr="000000"/>
              </a:solidFill>
              <a:latin typeface="Times New Roman" panose="02020603050405020304" pitchFamily="18" charset="0"/>
              <a:ea typeface="+mj-ea"/>
              <a:cs typeface="Times New Roman" panose="02020603050405020304" pitchFamily="18" charset="0"/>
            </a:defRPr>
          </a:pPr>
          <a:endParaRPr lang="es-GT"/>
        </a:p>
      </c:txPr>
    </c:title>
    <c:autoTitleDeleted val="0"/>
    <c:plotArea>
      <c:layout>
        <c:manualLayout>
          <c:layoutTarget val="inner"/>
          <c:xMode val="edge"/>
          <c:yMode val="edge"/>
          <c:x val="0"/>
          <c:y val="0.3235858294544528"/>
          <c:w val="1"/>
          <c:h val="0.46508156771721665"/>
        </c:manualLayout>
      </c:layout>
      <c:barChart>
        <c:barDir val="col"/>
        <c:grouping val="clustered"/>
        <c:varyColors val="0"/>
        <c:ser>
          <c:idx val="0"/>
          <c:order val="1"/>
          <c:tx>
            <c:strRef>
              <c:f>Hoja1!$D$1</c:f>
              <c:strCache>
                <c:ptCount val="1"/>
                <c:pt idx="0">
                  <c:v>2019</c:v>
                </c:pt>
              </c:strCache>
            </c:strRef>
          </c:tx>
          <c:spPr>
            <a:solidFill>
              <a:schemeClr val="accent6"/>
            </a:solidFill>
            <a:ln>
              <a:solidFill>
                <a:sysClr val="windowText" lastClr="000000"/>
              </a:solidFill>
            </a:ln>
            <a:effectLst>
              <a:outerShdw blurRad="50800" dist="38100" dir="18900000" algn="bl" rotWithShape="0">
                <a:prstClr val="black">
                  <a:alpha val="40000"/>
                </a:prst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accent6"/>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Hoja1!$A$2:$A$7</c:f>
              <c:strCache>
                <c:ptCount val="6"/>
                <c:pt idx="0">
                  <c:v>Enero</c:v>
                </c:pt>
                <c:pt idx="1">
                  <c:v>Febrero</c:v>
                </c:pt>
                <c:pt idx="2">
                  <c:v>Marzo</c:v>
                </c:pt>
                <c:pt idx="3">
                  <c:v>Abril</c:v>
                </c:pt>
                <c:pt idx="4">
                  <c:v>Mayo</c:v>
                </c:pt>
                <c:pt idx="5">
                  <c:v>Junio</c:v>
                </c:pt>
              </c:strCache>
            </c:strRef>
          </c:cat>
          <c:val>
            <c:numRef>
              <c:f>Hoja1!$D$2:$D$7</c:f>
              <c:numCache>
                <c:formatCode>#,##0.0_ ;[Red]\-#,##0.0\ </c:formatCode>
                <c:ptCount val="6"/>
                <c:pt idx="0">
                  <c:v>4.8602299376198088</c:v>
                </c:pt>
                <c:pt idx="1">
                  <c:v>4.0985048319102768</c:v>
                </c:pt>
                <c:pt idx="2">
                  <c:v>4.7041206272829816</c:v>
                </c:pt>
                <c:pt idx="3">
                  <c:v>4.2596789207485664</c:v>
                </c:pt>
                <c:pt idx="4">
                  <c:v>4.6596170742949417</c:v>
                </c:pt>
                <c:pt idx="5">
                  <c:v>3.7475621685612026</c:v>
                </c:pt>
              </c:numCache>
            </c:numRef>
          </c:val>
          <c:extLst>
            <c:ext xmlns:c16="http://schemas.microsoft.com/office/drawing/2014/chart" uri="{C3380CC4-5D6E-409C-BE32-E72D297353CC}">
              <c16:uniqueId val="{00000001-E2D9-4984-901D-E1114F265272}"/>
            </c:ext>
          </c:extLst>
        </c:ser>
        <c:ser>
          <c:idx val="1"/>
          <c:order val="2"/>
          <c:tx>
            <c:strRef>
              <c:f>Hoja1!$C$1</c:f>
              <c:strCache>
                <c:ptCount val="1"/>
                <c:pt idx="0">
                  <c:v>2020</c:v>
                </c:pt>
              </c:strCache>
            </c:strRef>
          </c:tx>
          <c:spPr>
            <a:solidFill>
              <a:schemeClr val="accent5"/>
            </a:solidFill>
            <a:ln>
              <a:solidFill>
                <a:sysClr val="windowText" lastClr="000000"/>
              </a:solidFill>
            </a:ln>
            <a:effectLst>
              <a:outerShdw blurRad="50800" dist="38100" dir="18900000" algn="bl" rotWithShape="0">
                <a:prstClr val="black">
                  <a:alpha val="40000"/>
                </a:prst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accent5"/>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Hoja1!$A$2:$A$7</c:f>
              <c:strCache>
                <c:ptCount val="6"/>
                <c:pt idx="0">
                  <c:v>Enero</c:v>
                </c:pt>
                <c:pt idx="1">
                  <c:v>Febrero</c:v>
                </c:pt>
                <c:pt idx="2">
                  <c:v>Marzo</c:v>
                </c:pt>
                <c:pt idx="3">
                  <c:v>Abril</c:v>
                </c:pt>
                <c:pt idx="4">
                  <c:v>Mayo</c:v>
                </c:pt>
                <c:pt idx="5">
                  <c:v>Junio</c:v>
                </c:pt>
              </c:strCache>
            </c:strRef>
          </c:cat>
          <c:val>
            <c:numRef>
              <c:f>Hoja1!$C$2:$C$7</c:f>
              <c:numCache>
                <c:formatCode>#,##0.0_ ;[Red]\-#,##0.0\ </c:formatCode>
                <c:ptCount val="6"/>
                <c:pt idx="0">
                  <c:v>9.3979182442180953</c:v>
                </c:pt>
                <c:pt idx="1">
                  <c:v>8.9608554268839846</c:v>
                </c:pt>
                <c:pt idx="2">
                  <c:v>-3.027054181871891</c:v>
                </c:pt>
                <c:pt idx="3">
                  <c:v>0.90477629404430715</c:v>
                </c:pt>
                <c:pt idx="4">
                  <c:v>-3.4540328370828877</c:v>
                </c:pt>
                <c:pt idx="5">
                  <c:v>-5.1003803278290789</c:v>
                </c:pt>
              </c:numCache>
            </c:numRef>
          </c:val>
          <c:extLst>
            <c:ext xmlns:c16="http://schemas.microsoft.com/office/drawing/2014/chart" uri="{C3380CC4-5D6E-409C-BE32-E72D297353CC}">
              <c16:uniqueId val="{00000000-E2D9-4984-901D-E1114F265272}"/>
            </c:ext>
          </c:extLst>
        </c:ser>
        <c:dLbls>
          <c:showLegendKey val="0"/>
          <c:showVal val="0"/>
          <c:showCatName val="0"/>
          <c:showSerName val="0"/>
          <c:showPercent val="0"/>
          <c:showBubbleSize val="0"/>
        </c:dLbls>
        <c:gapWidth val="150"/>
        <c:axId val="1509281743"/>
        <c:axId val="344873055"/>
      </c:barChart>
      <c:lineChart>
        <c:grouping val="standard"/>
        <c:varyColors val="0"/>
        <c:ser>
          <c:idx val="2"/>
          <c:order val="0"/>
          <c:tx>
            <c:strRef>
              <c:f>Hoja1!$B$1</c:f>
              <c:strCache>
                <c:ptCount val="1"/>
                <c:pt idx="0">
                  <c:v>2021*</c:v>
                </c:pt>
              </c:strCache>
            </c:strRef>
          </c:tx>
          <c:spPr>
            <a:ln w="22225" cap="rnd">
              <a:solidFill>
                <a:schemeClr val="accent4"/>
              </a:solidFill>
              <a:round/>
              <a:tailEnd type="triangle"/>
            </a:ln>
            <a:effectLst>
              <a:outerShdw blurRad="50800" dist="38100" dir="18900000" algn="bl" rotWithShape="0">
                <a:prstClr val="black">
                  <a:alpha val="40000"/>
                </a:prstClr>
              </a:outerShdw>
            </a:effectLst>
          </c:spPr>
          <c:marker>
            <c:symbol val="diamond"/>
            <c:size val="5"/>
            <c:spPr>
              <a:solidFill>
                <a:schemeClr val="lt1"/>
              </a:solidFill>
              <a:ln w="15875">
                <a:solidFill>
                  <a:schemeClr val="accent4"/>
                </a:solidFill>
                <a:round/>
              </a:ln>
              <a:effectLst/>
            </c:spPr>
          </c:marker>
          <c:dLbls>
            <c:dLbl>
              <c:idx val="0"/>
              <c:layout>
                <c:manualLayout>
                  <c:x val="-3.9263822791381887E-2"/>
                  <c:y val="-6.674079150408163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98F-4D19-9CDB-2A18BD344173}"/>
                </c:ext>
              </c:extLst>
            </c:dLbl>
            <c:dLbl>
              <c:idx val="1"/>
              <c:layout>
                <c:manualLayout>
                  <c:x val="-3.0472614000173055E-2"/>
                  <c:y val="3.391048143848803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98F-4D19-9CDB-2A18BD344173}"/>
                </c:ext>
              </c:extLst>
            </c:dLbl>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txPr>
              <a:bodyPr rot="0" spcFirstLastPara="1" vertOverflow="ellipsis" vert="horz" wrap="square" lIns="38100" tIns="19050" rIns="38100" bIns="19050" anchor="ctr" anchorCtr="1">
                <a:spAutoFit/>
              </a:bodyPr>
              <a:lstStyle/>
              <a:p>
                <a:pPr>
                  <a:defRPr sz="700" b="0" i="0" u="none" strike="noStrike" kern="1200" baseline="0">
                    <a:solidFill>
                      <a:schemeClr val="dk1"/>
                    </a:solidFill>
                    <a:latin typeface="+mn-lt"/>
                    <a:ea typeface="+mn-ea"/>
                    <a:cs typeface="+mn-cs"/>
                  </a:defRPr>
                </a:pPr>
                <a:endParaRPr lang="es-GT"/>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Hoja1!$A$2:$A$7</c:f>
              <c:strCache>
                <c:ptCount val="6"/>
                <c:pt idx="0">
                  <c:v>Enero</c:v>
                </c:pt>
                <c:pt idx="1">
                  <c:v>Febrero</c:v>
                </c:pt>
                <c:pt idx="2">
                  <c:v>Marzo</c:v>
                </c:pt>
                <c:pt idx="3">
                  <c:v>Abril</c:v>
                </c:pt>
                <c:pt idx="4">
                  <c:v>Mayo</c:v>
                </c:pt>
                <c:pt idx="5">
                  <c:v>Junio</c:v>
                </c:pt>
              </c:strCache>
            </c:strRef>
          </c:cat>
          <c:val>
            <c:numRef>
              <c:f>Hoja1!$B$2:$B$7</c:f>
              <c:numCache>
                <c:formatCode>#,##0.0_ ;[Red]\-#,##0.0\ </c:formatCode>
                <c:ptCount val="6"/>
                <c:pt idx="0">
                  <c:v>4.0521493658947971</c:v>
                </c:pt>
                <c:pt idx="1">
                  <c:v>6.0180095114245269</c:v>
                </c:pt>
                <c:pt idx="2">
                  <c:v>20.618069128650163</c:v>
                </c:pt>
                <c:pt idx="3">
                  <c:v>17.988364761504339</c:v>
                </c:pt>
                <c:pt idx="4">
                  <c:v>22.164024828394947</c:v>
                </c:pt>
                <c:pt idx="5">
                  <c:v>24.507052702809439</c:v>
                </c:pt>
              </c:numCache>
            </c:numRef>
          </c:val>
          <c:smooth val="1"/>
          <c:extLst>
            <c:ext xmlns:c16="http://schemas.microsoft.com/office/drawing/2014/chart" uri="{C3380CC4-5D6E-409C-BE32-E72D297353CC}">
              <c16:uniqueId val="{00000005-E2D9-4984-901D-E1114F265272}"/>
            </c:ext>
          </c:extLst>
        </c:ser>
        <c:dLbls>
          <c:showLegendKey val="0"/>
          <c:showVal val="0"/>
          <c:showCatName val="0"/>
          <c:showSerName val="0"/>
          <c:showPercent val="0"/>
          <c:showBubbleSize val="0"/>
        </c:dLbls>
        <c:marker val="1"/>
        <c:smooth val="0"/>
        <c:axId val="1509281743"/>
        <c:axId val="344873055"/>
      </c:lineChart>
      <c:catAx>
        <c:axId val="1509281743"/>
        <c:scaling>
          <c:orientation val="minMax"/>
        </c:scaling>
        <c:delete val="0"/>
        <c:axPos val="b"/>
        <c:majorGridlines>
          <c:spPr>
            <a:ln w="9525" cap="flat" cmpd="sng" algn="ctr">
              <a:solidFill>
                <a:schemeClr val="dk1">
                  <a:lumMod val="15000"/>
                  <a:lumOff val="85000"/>
                  <a:alpha val="54000"/>
                </a:schemeClr>
              </a:solidFill>
              <a:round/>
            </a:ln>
            <a:effectLst/>
          </c:spPr>
        </c:majorGridlines>
        <c:minorGridlines>
          <c:spPr>
            <a:ln w="9525" cap="flat" cmpd="sng" algn="ctr">
              <a:solidFill>
                <a:schemeClr val="dk1">
                  <a:lumMod val="15000"/>
                  <a:lumOff val="85000"/>
                  <a:alpha val="51000"/>
                </a:schemeClr>
              </a:solidFill>
              <a:round/>
            </a:ln>
            <a:effectLst/>
          </c:spPr>
        </c:minorGridlines>
        <c:numFmt formatCode="General" sourceLinked="1"/>
        <c:majorTickMark val="none"/>
        <c:minorTickMark val="none"/>
        <c:tickLblPos val="low"/>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800" b="1" i="0" u="none" strike="noStrike" kern="1200" cap="none" spc="0" normalizeH="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crossAx val="344873055"/>
        <c:crosses val="autoZero"/>
        <c:auto val="1"/>
        <c:lblAlgn val="ctr"/>
        <c:lblOffset val="100"/>
        <c:noMultiLvlLbl val="0"/>
      </c:catAx>
      <c:valAx>
        <c:axId val="344873055"/>
        <c:scaling>
          <c:orientation val="minMax"/>
        </c:scaling>
        <c:delete val="0"/>
        <c:axPos val="l"/>
        <c:majorGridlines>
          <c:spPr>
            <a:ln w="9525" cap="flat" cmpd="sng" algn="ctr">
              <a:solidFill>
                <a:schemeClr val="dk1">
                  <a:lumMod val="15000"/>
                  <a:lumOff val="85000"/>
                  <a:alpha val="54000"/>
                </a:schemeClr>
              </a:solidFill>
              <a:round/>
            </a:ln>
            <a:effectLst/>
          </c:spPr>
        </c:majorGridlines>
        <c:numFmt formatCode="#,##0_ ;[Red]\-#,##0\ "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1509281743"/>
        <c:crosses val="autoZero"/>
        <c:crossBetween val="between"/>
      </c:valAx>
      <c:spPr>
        <a:pattFill prst="ltDnDiag">
          <a:fgClr>
            <a:schemeClr val="dk1">
              <a:lumMod val="15000"/>
              <a:lumOff val="85000"/>
            </a:schemeClr>
          </a:fgClr>
          <a:bgClr>
            <a:schemeClr val="lt1"/>
          </a:bgClr>
        </a:pattFill>
        <a:ln>
          <a:noFill/>
        </a:ln>
        <a:effectLst/>
      </c:spPr>
    </c:plotArea>
    <c:legend>
      <c:legendPos val="t"/>
      <c:layout>
        <c:manualLayout>
          <c:xMode val="edge"/>
          <c:yMode val="edge"/>
          <c:x val="0.15145296783360937"/>
          <c:y val="0.21519765101483385"/>
          <c:w val="0.6715112918577486"/>
          <c:h val="9.3024651601927064E-2"/>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GT"/>
        </a:p>
      </c:txPr>
    </c:legend>
    <c:plotVisOnly val="1"/>
    <c:dispBlanksAs val="gap"/>
    <c:showDLblsOverMax val="0"/>
    <c:extLst/>
  </c:chart>
  <c:spPr>
    <a:solidFill>
      <a:schemeClr val="lt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es-GT"/>
    </a:p>
  </c:txPr>
  <c:externalData r:id="rId4">
    <c:autoUpdate val="0"/>
  </c:externalData>
  <c:userShapes r:id="rId5"/>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2000" b="1" i="0" u="none" strike="noStrike" kern="1200" cap="none" spc="0" normalizeH="0" baseline="0">
                <a:solidFill>
                  <a:schemeClr val="tx1"/>
                </a:solidFill>
                <a:latin typeface="Times New Roman" panose="02020603050405020304" pitchFamily="18" charset="0"/>
                <a:ea typeface="+mj-ea"/>
                <a:cs typeface="Times New Roman" panose="02020603050405020304" pitchFamily="18" charset="0"/>
              </a:defRPr>
            </a:pPr>
            <a:r>
              <a:rPr lang="en-US" sz="900" b="1">
                <a:solidFill>
                  <a:schemeClr val="tx1"/>
                </a:solidFill>
              </a:rPr>
              <a:t>Por tipo de intrumento </a:t>
            </a:r>
          </a:p>
          <a:p>
            <a:pPr>
              <a:defRPr b="1">
                <a:solidFill>
                  <a:schemeClr val="tx1"/>
                </a:solidFill>
              </a:defRPr>
            </a:pPr>
            <a:r>
              <a:rPr lang="en-US" sz="900" b="1">
                <a:solidFill>
                  <a:schemeClr val="tx1"/>
                </a:solidFill>
              </a:rPr>
              <a:t>Cifra acumulada a junio</a:t>
            </a:r>
          </a:p>
        </c:rich>
      </c:tx>
      <c:layout>
        <c:manualLayout>
          <c:xMode val="edge"/>
          <c:yMode val="edge"/>
          <c:x val="0.24247808794645748"/>
          <c:y val="4.4535929071858145E-3"/>
        </c:manualLayout>
      </c:layout>
      <c:overlay val="0"/>
      <c:spPr>
        <a:noFill/>
        <a:ln>
          <a:noFill/>
        </a:ln>
        <a:effectLst/>
      </c:spPr>
      <c:txPr>
        <a:bodyPr rot="0" spcFirstLastPara="1" vertOverflow="ellipsis" vert="horz" wrap="square" anchor="ctr" anchorCtr="1"/>
        <a:lstStyle/>
        <a:p>
          <a:pPr>
            <a:defRPr sz="2000" b="1" i="0" u="none" strike="noStrike" kern="1200" cap="none" spc="0" normalizeH="0" baseline="0">
              <a:solidFill>
                <a:schemeClr val="tx1"/>
              </a:solidFill>
              <a:latin typeface="Times New Roman" panose="02020603050405020304" pitchFamily="18" charset="0"/>
              <a:ea typeface="+mj-ea"/>
              <a:cs typeface="Times New Roman" panose="02020603050405020304" pitchFamily="18" charset="0"/>
            </a:defRPr>
          </a:pPr>
          <a:endParaRPr lang="es-GT"/>
        </a:p>
      </c:txPr>
    </c:title>
    <c:autoTitleDeleted val="0"/>
    <c:plotArea>
      <c:layout>
        <c:manualLayout>
          <c:layoutTarget val="inner"/>
          <c:xMode val="edge"/>
          <c:yMode val="edge"/>
          <c:x val="0.37212131438965096"/>
          <c:y val="0.19398945997891995"/>
          <c:w val="0.48347280786263541"/>
          <c:h val="0.70011036022072048"/>
        </c:manualLayout>
      </c:layout>
      <c:barChart>
        <c:barDir val="bar"/>
        <c:grouping val="clustered"/>
        <c:varyColors val="1"/>
        <c:ser>
          <c:idx val="0"/>
          <c:order val="0"/>
          <c:tx>
            <c:strRef>
              <c:f>Hoja1!$B$1</c:f>
              <c:strCache>
                <c:ptCount val="1"/>
                <c:pt idx="0">
                  <c:v>Diciembre</c:v>
                </c:pt>
              </c:strCache>
            </c:strRef>
          </c:tx>
          <c:spPr>
            <a:ln>
              <a:solidFill>
                <a:schemeClr val="tx1"/>
              </a:solidFill>
            </a:ln>
            <a:effectLst>
              <a:outerShdw blurRad="50800" dist="38100" dir="18900000" algn="bl" rotWithShape="0">
                <a:prstClr val="black">
                  <a:alpha val="40000"/>
                </a:prstClr>
              </a:outerShdw>
            </a:effectLst>
          </c:spPr>
          <c:invertIfNegative val="0"/>
          <c:dPt>
            <c:idx val="0"/>
            <c:invertIfNegative val="0"/>
            <c:bubble3D val="0"/>
            <c:spPr>
              <a:solidFill>
                <a:schemeClr val="accent1"/>
              </a:solidFill>
              <a:ln>
                <a:solidFill>
                  <a:schemeClr val="tx1"/>
                </a:solidFill>
              </a:ln>
              <a:effectLst>
                <a:outerShdw blurRad="50800" dist="38100" dir="18900000" algn="bl" rotWithShape="0">
                  <a:prstClr val="black">
                    <a:alpha val="40000"/>
                  </a:prstClr>
                </a:outerShdw>
              </a:effectLst>
            </c:spPr>
            <c:extLst>
              <c:ext xmlns:c16="http://schemas.microsoft.com/office/drawing/2014/chart" uri="{C3380CC4-5D6E-409C-BE32-E72D297353CC}">
                <c16:uniqueId val="{00000001-0F44-4C92-821A-7F028F1FD3E9}"/>
              </c:ext>
            </c:extLst>
          </c:dPt>
          <c:dPt>
            <c:idx val="1"/>
            <c:invertIfNegative val="0"/>
            <c:bubble3D val="0"/>
            <c:spPr>
              <a:solidFill>
                <a:schemeClr val="accent2"/>
              </a:solidFill>
              <a:ln>
                <a:solidFill>
                  <a:schemeClr val="tx1"/>
                </a:solidFill>
              </a:ln>
              <a:effectLst>
                <a:outerShdw blurRad="50800" dist="38100" dir="18900000" algn="bl" rotWithShape="0">
                  <a:prstClr val="black">
                    <a:alpha val="40000"/>
                  </a:prstClr>
                </a:outerShdw>
              </a:effectLst>
            </c:spPr>
            <c:extLst>
              <c:ext xmlns:c16="http://schemas.microsoft.com/office/drawing/2014/chart" uri="{C3380CC4-5D6E-409C-BE32-E72D297353CC}">
                <c16:uniqueId val="{00000003-0F44-4C92-821A-7F028F1FD3E9}"/>
              </c:ext>
            </c:extLst>
          </c:dPt>
          <c:dPt>
            <c:idx val="2"/>
            <c:invertIfNegative val="0"/>
            <c:bubble3D val="0"/>
            <c:spPr>
              <a:solidFill>
                <a:schemeClr val="accent3"/>
              </a:solidFill>
              <a:ln>
                <a:solidFill>
                  <a:schemeClr val="tx1"/>
                </a:solidFill>
              </a:ln>
              <a:effectLst>
                <a:outerShdw blurRad="50800" dist="38100" dir="18900000" algn="bl" rotWithShape="0">
                  <a:prstClr val="black">
                    <a:alpha val="40000"/>
                  </a:prstClr>
                </a:outerShdw>
              </a:effectLst>
            </c:spPr>
            <c:extLst>
              <c:ext xmlns:c16="http://schemas.microsoft.com/office/drawing/2014/chart" uri="{C3380CC4-5D6E-409C-BE32-E72D297353CC}">
                <c16:uniqueId val="{00000005-F29F-472F-91A8-BB37D81BC0C6}"/>
              </c:ext>
            </c:extLst>
          </c:dPt>
          <c:dLbls>
            <c:dLbl>
              <c:idx val="0"/>
              <c:layout>
                <c:manualLayout>
                  <c:x val="-9.9676052828309835E-3"/>
                  <c:y val="-1.1548423022077977E-16"/>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F44-4C92-821A-7F028F1FD3E9}"/>
                </c:ext>
              </c:extLst>
            </c:dLbl>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G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Hoja1!$A$2:$A$4</c:f>
              <c:strCache>
                <c:ptCount val="3"/>
                <c:pt idx="0">
                  <c:v>Titulos de Deuda</c:v>
                </c:pt>
                <c:pt idx="1">
                  <c:v>Prestamos</c:v>
                </c:pt>
                <c:pt idx="2">
                  <c:v>Otras cuentas por pagar</c:v>
                </c:pt>
              </c:strCache>
            </c:strRef>
          </c:cat>
          <c:val>
            <c:numRef>
              <c:f>Hoja1!$B$2:$B$4</c:f>
              <c:numCache>
                <c:formatCode>#,##0.0_ ;[Red]\-#,##0.0\ </c:formatCode>
                <c:ptCount val="3"/>
                <c:pt idx="0">
                  <c:v>13031.96560474</c:v>
                </c:pt>
                <c:pt idx="1">
                  <c:v>-1226.0148424199999</c:v>
                </c:pt>
                <c:pt idx="2">
                  <c:v>-442.12904917000003</c:v>
                </c:pt>
              </c:numCache>
            </c:numRef>
          </c:val>
          <c:extLst>
            <c:ext xmlns:c16="http://schemas.microsoft.com/office/drawing/2014/chart" uri="{C3380CC4-5D6E-409C-BE32-E72D297353CC}">
              <c16:uniqueId val="{00000000-92B5-4ECC-B1F9-B9EE3AEC1E4F}"/>
            </c:ext>
          </c:extLst>
        </c:ser>
        <c:dLbls>
          <c:dLblPos val="inEnd"/>
          <c:showLegendKey val="0"/>
          <c:showVal val="1"/>
          <c:showCatName val="0"/>
          <c:showSerName val="0"/>
          <c:showPercent val="0"/>
          <c:showBubbleSize val="0"/>
        </c:dLbls>
        <c:gapWidth val="119"/>
        <c:overlap val="-48"/>
        <c:axId val="152972768"/>
        <c:axId val="152984368"/>
      </c:barChart>
      <c:catAx>
        <c:axId val="1529727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low"/>
        <c:spPr>
          <a:noFill/>
          <a:ln w="9525" cap="flat" cmpd="sng" algn="ctr">
            <a:solidFill>
              <a:schemeClr val="tx1">
                <a:lumMod val="15000"/>
                <a:lumOff val="85000"/>
              </a:schemeClr>
            </a:solidFill>
            <a:round/>
          </a:ln>
          <a:effectLst/>
        </c:spPr>
        <c:txPr>
          <a:bodyPr rot="0" spcFirstLastPara="1" vertOverflow="ellipsis" wrap="square" anchor="ctr" anchorCtr="0"/>
          <a:lstStyle/>
          <a:p>
            <a:pPr>
              <a:defRPr sz="900" b="1" i="0" u="none" strike="noStrike" kern="1200" cap="none" spc="0" normalizeH="0" baseline="0">
                <a:solidFill>
                  <a:schemeClr val="tx1"/>
                </a:solidFill>
                <a:latin typeface="Times New Roman" panose="02020603050405020304" pitchFamily="18" charset="0"/>
                <a:ea typeface="+mn-ea"/>
                <a:cs typeface="Times New Roman" panose="02020603050405020304" pitchFamily="18" charset="0"/>
              </a:defRPr>
            </a:pPr>
            <a:endParaRPr lang="es-GT"/>
          </a:p>
        </c:txPr>
        <c:crossAx val="152984368"/>
        <c:crosses val="autoZero"/>
        <c:auto val="1"/>
        <c:lblAlgn val="ctr"/>
        <c:lblOffset val="100"/>
        <c:noMultiLvlLbl val="0"/>
      </c:catAx>
      <c:valAx>
        <c:axId val="152984368"/>
        <c:scaling>
          <c:orientation val="minMax"/>
          <c:min val="-9000"/>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_ ;[Red]\-#,##0\ "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15297276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es-GT"/>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cap="none" spc="0" normalizeH="0" baseline="0">
                <a:solidFill>
                  <a:sysClr val="windowText" lastClr="000000"/>
                </a:solidFill>
                <a:latin typeface="Times New Roman" panose="02020603050405020304" pitchFamily="18" charset="0"/>
                <a:ea typeface="+mj-ea"/>
                <a:cs typeface="Times New Roman" panose="02020603050405020304" pitchFamily="18" charset="0"/>
              </a:defRPr>
            </a:pPr>
            <a:r>
              <a:rPr lang="es-GT" sz="1200" b="1" i="0" baseline="0">
                <a:effectLst/>
              </a:rPr>
              <a:t>Erogaciones por Función del Gobierno</a:t>
            </a:r>
            <a:endParaRPr lang="es-GT" sz="1200">
              <a:effectLst/>
            </a:endParaRPr>
          </a:p>
          <a:p>
            <a:pPr>
              <a:defRPr sz="1200">
                <a:solidFill>
                  <a:sysClr val="windowText" lastClr="000000"/>
                </a:solidFill>
              </a:defRPr>
            </a:pPr>
            <a:r>
              <a:rPr lang="es-GT" sz="1100" b="1" i="0" baseline="0">
                <a:effectLst/>
              </a:rPr>
              <a:t>Variaciones interanuales acumuladas a junio* </a:t>
            </a:r>
            <a:endParaRPr lang="es-GT" sz="1100">
              <a:effectLst/>
            </a:endParaRPr>
          </a:p>
          <a:p>
            <a:pPr>
              <a:defRPr sz="1200">
                <a:solidFill>
                  <a:sysClr val="windowText" lastClr="000000"/>
                </a:solidFill>
              </a:defRPr>
            </a:pPr>
            <a:r>
              <a:rPr lang="es-GT" sz="1000" b="0" i="0" baseline="0">
                <a:effectLst/>
              </a:rPr>
              <a:t>En millones de quetzales</a:t>
            </a:r>
            <a:endParaRPr lang="es-GT" sz="1000">
              <a:effectLst/>
            </a:endParaRPr>
          </a:p>
        </c:rich>
      </c:tx>
      <c:layout>
        <c:manualLayout>
          <c:xMode val="edge"/>
          <c:yMode val="edge"/>
          <c:x val="0.23946759259259259"/>
          <c:y val="0"/>
        </c:manualLayout>
      </c:layout>
      <c:overlay val="0"/>
      <c:spPr>
        <a:noFill/>
        <a:ln>
          <a:noFill/>
        </a:ln>
        <a:effectLst/>
      </c:spPr>
      <c:txPr>
        <a:bodyPr rot="0" spcFirstLastPara="1" vertOverflow="ellipsis" vert="horz" wrap="square" anchor="ctr" anchorCtr="1"/>
        <a:lstStyle/>
        <a:p>
          <a:pPr>
            <a:defRPr sz="1200" b="1" i="0" u="none" strike="noStrike" kern="1200" cap="none" spc="0" normalizeH="0" baseline="0">
              <a:solidFill>
                <a:sysClr val="windowText" lastClr="000000"/>
              </a:solidFill>
              <a:latin typeface="Times New Roman" panose="02020603050405020304" pitchFamily="18" charset="0"/>
              <a:ea typeface="+mj-ea"/>
              <a:cs typeface="Times New Roman" panose="02020603050405020304" pitchFamily="18" charset="0"/>
            </a:defRPr>
          </a:pPr>
          <a:endParaRPr lang="es-GT"/>
        </a:p>
      </c:txPr>
    </c:title>
    <c:autoTitleDeleted val="0"/>
    <c:plotArea>
      <c:layout>
        <c:manualLayout>
          <c:layoutTarget val="inner"/>
          <c:xMode val="edge"/>
          <c:yMode val="edge"/>
          <c:x val="0.31064468503937009"/>
          <c:y val="0.19109388954133122"/>
          <c:w val="0.68935531496062996"/>
          <c:h val="0.7390612681516181"/>
        </c:manualLayout>
      </c:layout>
      <c:barChart>
        <c:barDir val="bar"/>
        <c:grouping val="clustered"/>
        <c:varyColors val="0"/>
        <c:ser>
          <c:idx val="0"/>
          <c:order val="0"/>
          <c:tx>
            <c:strRef>
              <c:f>Hoja1!$B$1</c:f>
              <c:strCache>
                <c:ptCount val="1"/>
                <c:pt idx="0">
                  <c:v>2021*</c:v>
                </c:pt>
              </c:strCache>
            </c:strRef>
          </c:tx>
          <c:spPr>
            <a:solidFill>
              <a:schemeClr val="accent1"/>
            </a:solidFill>
            <a:ln>
              <a:solidFill>
                <a:sysClr val="windowText" lastClr="000000"/>
              </a:solidFill>
            </a:ln>
            <a:effectLst>
              <a:outerShdw blurRad="50800" dist="38100" dir="18900000" algn="bl" rotWithShape="0">
                <a:prstClr val="black">
                  <a:alpha val="40000"/>
                </a:prstClr>
              </a:outerShdw>
            </a:effectLst>
          </c:spPr>
          <c:invertIfNegative val="0"/>
          <c:dLbls>
            <c:dLbl>
              <c:idx val="0"/>
              <c:layout>
                <c:manualLayout>
                  <c:x val="0"/>
                  <c:y val="-3.563626006828546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1BB-49CE-83E4-15D5528D2963}"/>
                </c:ext>
              </c:extLst>
            </c:dLbl>
            <c:dLbl>
              <c:idx val="3"/>
              <c:layout>
                <c:manualLayout>
                  <c:x val="0"/>
                  <c:y val="1.323334803705321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7E0-47F1-A594-C215B7391A35}"/>
                </c:ext>
              </c:extLst>
            </c:dLbl>
            <c:dLbl>
              <c:idx val="9"/>
              <c:layout>
                <c:manualLayout>
                  <c:x val="-6.9444444444444024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0C4-4D68-B0B8-B61B55BCB518}"/>
                </c:ext>
              </c:extLst>
            </c:dLbl>
            <c:numFmt formatCode="#,##0.0" sourceLinked="0"/>
            <c:spPr>
              <a:noFill/>
              <a:ln>
                <a:noFill/>
              </a:ln>
              <a:effectLst/>
            </c:spPr>
            <c:txPr>
              <a:bodyPr rot="0" spcFirstLastPara="1" vertOverflow="ellipsis" vert="horz" wrap="square" anchor="ctr" anchorCtr="1"/>
              <a:lstStyle/>
              <a:p>
                <a:pPr>
                  <a:defRPr sz="7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Hoja1!$A$2:$A$11</c:f>
              <c:strCache>
                <c:ptCount val="10"/>
                <c:pt idx="0">
                  <c:v>Salud </c:v>
                </c:pt>
                <c:pt idx="1">
                  <c:v>Servicios públicos generales </c:v>
                </c:pt>
                <c:pt idx="2">
                  <c:v>Asuntos económicos </c:v>
                </c:pt>
                <c:pt idx="3">
                  <c:v>Orden público y seguridad </c:v>
                </c:pt>
                <c:pt idx="4">
                  <c:v>Educación </c:v>
                </c:pt>
                <c:pt idx="5">
                  <c:v>Protección del medio ambiente </c:v>
                </c:pt>
                <c:pt idx="6">
                  <c:v>Vivienda y servicios comunitarios </c:v>
                </c:pt>
                <c:pt idx="7">
                  <c:v>Actividades recreativas, cultura y religión </c:v>
                </c:pt>
                <c:pt idx="8">
                  <c:v>Defensa </c:v>
                </c:pt>
                <c:pt idx="9">
                  <c:v>Protección social </c:v>
                </c:pt>
              </c:strCache>
            </c:strRef>
          </c:cat>
          <c:val>
            <c:numRef>
              <c:f>Hoja1!$B$2:$B$11</c:f>
              <c:numCache>
                <c:formatCode>_(* #,##0.00_);_(* \(#,##0.00\);_(* "-"??_);_(@_)</c:formatCode>
                <c:ptCount val="10"/>
                <c:pt idx="0">
                  <c:v>1281.4436067300012</c:v>
                </c:pt>
                <c:pt idx="1">
                  <c:v>1217.7524132800008</c:v>
                </c:pt>
                <c:pt idx="2">
                  <c:v>875.03186948999974</c:v>
                </c:pt>
                <c:pt idx="3">
                  <c:v>267.36368176999895</c:v>
                </c:pt>
                <c:pt idx="4">
                  <c:v>53.679434679999758</c:v>
                </c:pt>
                <c:pt idx="5">
                  <c:v>53.055944880000027</c:v>
                </c:pt>
                <c:pt idx="6">
                  <c:v>52.586120439999831</c:v>
                </c:pt>
                <c:pt idx="7">
                  <c:v>50.438080040000045</c:v>
                </c:pt>
                <c:pt idx="8">
                  <c:v>46.971804790000078</c:v>
                </c:pt>
                <c:pt idx="9">
                  <c:v>-2296.0200077599993</c:v>
                </c:pt>
              </c:numCache>
            </c:numRef>
          </c:val>
          <c:extLst>
            <c:ext xmlns:c16="http://schemas.microsoft.com/office/drawing/2014/chart" uri="{C3380CC4-5D6E-409C-BE32-E72D297353CC}">
              <c16:uniqueId val="{00000000-E959-4098-890E-1F7CBB36AEF0}"/>
            </c:ext>
          </c:extLst>
        </c:ser>
        <c:ser>
          <c:idx val="1"/>
          <c:order val="1"/>
          <c:tx>
            <c:strRef>
              <c:f>Hoja1!$C$1</c:f>
              <c:strCache>
                <c:ptCount val="1"/>
                <c:pt idx="0">
                  <c:v>2020</c:v>
                </c:pt>
              </c:strCache>
            </c:strRef>
          </c:tx>
          <c:spPr>
            <a:solidFill>
              <a:schemeClr val="accent2"/>
            </a:solidFill>
            <a:ln>
              <a:solidFill>
                <a:sysClr val="windowText" lastClr="000000"/>
              </a:solidFill>
            </a:ln>
            <a:effectLst>
              <a:outerShdw blurRad="50800" dist="38100" dir="18900000" algn="bl" rotWithShape="0">
                <a:prstClr val="black">
                  <a:alpha val="40000"/>
                </a:prstClr>
              </a:outerShdw>
            </a:effectLst>
          </c:spPr>
          <c:invertIfNegative val="0"/>
          <c:dLbls>
            <c:dLbl>
              <c:idx val="1"/>
              <c:layout>
                <c:manualLayout>
                  <c:x val="0"/>
                  <c:y val="-4.411116012351286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0C4-4D68-B0B8-B61B55BCB518}"/>
                </c:ext>
              </c:extLst>
            </c:dLbl>
            <c:numFmt formatCode="#,##0.0" sourceLinked="0"/>
            <c:spPr>
              <a:noFill/>
              <a:ln>
                <a:noFill/>
              </a:ln>
              <a:effectLst/>
            </c:spPr>
            <c:txPr>
              <a:bodyPr rot="0" spcFirstLastPara="1" vertOverflow="ellipsis" vert="horz" wrap="square" anchor="ctr" anchorCtr="1"/>
              <a:lstStyle/>
              <a:p>
                <a:pPr>
                  <a:defRPr sz="700" b="0" i="0" u="none" strike="noStrike" kern="1200" baseline="0">
                    <a:solidFill>
                      <a:schemeClr val="accent2"/>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Hoja1!$A$2:$A$11</c:f>
              <c:strCache>
                <c:ptCount val="10"/>
                <c:pt idx="0">
                  <c:v>Salud </c:v>
                </c:pt>
                <c:pt idx="1">
                  <c:v>Servicios públicos generales </c:v>
                </c:pt>
                <c:pt idx="2">
                  <c:v>Asuntos económicos </c:v>
                </c:pt>
                <c:pt idx="3">
                  <c:v>Orden público y seguridad </c:v>
                </c:pt>
                <c:pt idx="4">
                  <c:v>Educación </c:v>
                </c:pt>
                <c:pt idx="5">
                  <c:v>Protección del medio ambiente </c:v>
                </c:pt>
                <c:pt idx="6">
                  <c:v>Vivienda y servicios comunitarios </c:v>
                </c:pt>
                <c:pt idx="7">
                  <c:v>Actividades recreativas, cultura y religión </c:v>
                </c:pt>
                <c:pt idx="8">
                  <c:v>Defensa </c:v>
                </c:pt>
                <c:pt idx="9">
                  <c:v>Protección social </c:v>
                </c:pt>
              </c:strCache>
            </c:strRef>
          </c:cat>
          <c:val>
            <c:numRef>
              <c:f>Hoja1!$C$2:$C$11</c:f>
              <c:numCache>
                <c:formatCode>_(* #,##0.00_);_(* \(#,##0.00\);_(* "-"??_);_(@_)</c:formatCode>
                <c:ptCount val="10"/>
                <c:pt idx="0">
                  <c:v>55.129528799999207</c:v>
                </c:pt>
                <c:pt idx="1">
                  <c:v>-71.213329100000919</c:v>
                </c:pt>
                <c:pt idx="2">
                  <c:v>-454.34693111000024</c:v>
                </c:pt>
                <c:pt idx="3">
                  <c:v>252.75689049000084</c:v>
                </c:pt>
                <c:pt idx="4">
                  <c:v>240.05912096000247</c:v>
                </c:pt>
                <c:pt idx="5">
                  <c:v>-33.41700271000002</c:v>
                </c:pt>
                <c:pt idx="6">
                  <c:v>-219.16280033999965</c:v>
                </c:pt>
                <c:pt idx="7">
                  <c:v>-71.806108110000025</c:v>
                </c:pt>
                <c:pt idx="8">
                  <c:v>29.867170009999995</c:v>
                </c:pt>
                <c:pt idx="9">
                  <c:v>2062.120774</c:v>
                </c:pt>
              </c:numCache>
            </c:numRef>
          </c:val>
          <c:extLst>
            <c:ext xmlns:c16="http://schemas.microsoft.com/office/drawing/2014/chart" uri="{C3380CC4-5D6E-409C-BE32-E72D297353CC}">
              <c16:uniqueId val="{00000001-E959-4098-890E-1F7CBB36AEF0}"/>
            </c:ext>
          </c:extLst>
        </c:ser>
        <c:dLbls>
          <c:showLegendKey val="0"/>
          <c:showVal val="0"/>
          <c:showCatName val="0"/>
          <c:showSerName val="0"/>
          <c:showPercent val="0"/>
          <c:showBubbleSize val="0"/>
        </c:dLbls>
        <c:gapWidth val="247"/>
        <c:axId val="1170388288"/>
        <c:axId val="1181658512"/>
      </c:barChart>
      <c:catAx>
        <c:axId val="1170388288"/>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out"/>
        <c:minorTickMark val="none"/>
        <c:tickLblPos val="low"/>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800" b="1" i="0" u="none" strike="noStrike" kern="1200" cap="none" spc="0" normalizeH="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1181658512"/>
        <c:crosses val="autoZero"/>
        <c:auto val="1"/>
        <c:lblAlgn val="ctr"/>
        <c:lblOffset val="100"/>
        <c:noMultiLvlLbl val="0"/>
      </c:catAx>
      <c:valAx>
        <c:axId val="1181658512"/>
        <c:scaling>
          <c:orientation val="minMax"/>
        </c:scaling>
        <c:delete val="0"/>
        <c:axPos val="b"/>
        <c:majorGridlines>
          <c:spPr>
            <a:ln w="9525" cap="flat" cmpd="sng" algn="ctr">
              <a:solidFill>
                <a:schemeClr val="dk1">
                  <a:lumMod val="15000"/>
                  <a:lumOff val="85000"/>
                </a:schemeClr>
              </a:solidFill>
              <a:round/>
            </a:ln>
            <a:effectLst/>
          </c:spPr>
        </c:majorGridlines>
        <c:numFmt formatCode="#,##0_ ;[Red]\-#,##0\ "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1170388288"/>
        <c:crosses val="autoZero"/>
        <c:crossBetween val="between"/>
        <c:majorUnit val="1000"/>
      </c:valAx>
      <c:spPr>
        <a:pattFill prst="ltDnDiag">
          <a:fgClr>
            <a:schemeClr val="dk1">
              <a:lumMod val="15000"/>
              <a:lumOff val="85000"/>
            </a:schemeClr>
          </a:fgClr>
          <a:bgClr>
            <a:schemeClr val="lt1"/>
          </a:bgClr>
        </a:pattFill>
        <a:ln>
          <a:noFill/>
        </a:ln>
        <a:effectLst/>
      </c:spPr>
    </c:plotArea>
    <c:legend>
      <c:legendPos val="r"/>
      <c:layout>
        <c:manualLayout>
          <c:xMode val="edge"/>
          <c:yMode val="edge"/>
          <c:x val="0.35340769903762032"/>
          <c:y val="0.84345298653206346"/>
          <c:w val="0.21279593175853018"/>
          <c:h val="8.2177019539224266E-2"/>
        </c:manualLayout>
      </c:layout>
      <c:overlay val="0"/>
      <c:spPr>
        <a:noFill/>
        <a:ln>
          <a:noFill/>
        </a:ln>
        <a:effectLst/>
      </c:spPr>
      <c:txPr>
        <a:bodyPr rot="0" spcFirstLastPara="1" vertOverflow="ellipsis" vert="horz" wrap="square" anchor="ctr" anchorCtr="1"/>
        <a:lstStyle/>
        <a:p>
          <a:pPr>
            <a:defRPr sz="1050" b="1"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GT"/>
        </a:p>
      </c:txPr>
    </c:legend>
    <c:plotVisOnly val="1"/>
    <c:dispBlanksAs val="gap"/>
    <c:showDLblsOverMax val="0"/>
    <c:extLst/>
  </c:chart>
  <c:spPr>
    <a:solidFill>
      <a:schemeClr val="lt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es-GT"/>
    </a:p>
  </c:txPr>
  <c:externalData r:id="rId4">
    <c:autoUpdate val="0"/>
  </c:externalData>
  <c:userShapes r:id="rId5"/>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s-MX" sz="1100" b="1" i="0">
                <a:effectLst/>
              </a:rPr>
              <a:t>𝐆𝐫𝐚𝐝𝐨 𝐝𝐞 𝐄𝐣𝐞𝐜𝐮𝐜𝐢ó𝐧 𝐩𝐨𝐫 𝐄𝐧𝐭𝐢𝐝𝐚𝐝 </a:t>
            </a:r>
            <a:r>
              <a:rPr lang="es-MX" sz="1100" b="1" i="0" baseline="30000">
                <a:effectLst/>
              </a:rPr>
              <a:t>𝟏/</a:t>
            </a:r>
            <a:endParaRPr lang="es-GT" sz="1100" baseline="30000">
              <a:effectLst/>
            </a:endParaRPr>
          </a:p>
          <a:p>
            <a:pPr>
              <a:defRPr/>
            </a:pPr>
            <a:r>
              <a:rPr lang="es-MX" sz="1050" b="1">
                <a:effectLst/>
              </a:rPr>
              <a:t>Cifras a junio de 2021*</a:t>
            </a:r>
            <a:endParaRPr lang="es-GT" sz="1050">
              <a:effectLst/>
            </a:endParaRPr>
          </a:p>
          <a:p>
            <a:pPr>
              <a:defRPr/>
            </a:pPr>
            <a:r>
              <a:rPr lang="es-MX" sz="1000">
                <a:effectLst/>
              </a:rPr>
              <a:t>En porcentajes</a:t>
            </a:r>
            <a:endParaRPr lang="es-GT" sz="1000">
              <a:effectLst/>
            </a:endParaRPr>
          </a:p>
        </c:rich>
      </c:tx>
      <c:layout>
        <c:manualLayout>
          <c:xMode val="edge"/>
          <c:yMode val="edge"/>
          <c:x val="0.10613723485367541"/>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title>
    <c:autoTitleDeleted val="0"/>
    <c:plotArea>
      <c:layout>
        <c:manualLayout>
          <c:layoutTarget val="inner"/>
          <c:xMode val="edge"/>
          <c:yMode val="edge"/>
          <c:x val="0.24244378702046987"/>
          <c:y val="0.13600984463928625"/>
          <c:w val="0.70153674771321428"/>
          <c:h val="0.73011032827172562"/>
        </c:manualLayout>
      </c:layout>
      <c:barChart>
        <c:barDir val="bar"/>
        <c:grouping val="clustered"/>
        <c:varyColors val="0"/>
        <c:ser>
          <c:idx val="0"/>
          <c:order val="0"/>
          <c:tx>
            <c:strRef>
              <c:f>Sheet1!$B$1</c:f>
              <c:strCache>
                <c:ptCount val="1"/>
                <c:pt idx="0">
                  <c:v>%</c:v>
                </c:pt>
              </c:strCache>
            </c:strRef>
          </c:tx>
          <c:spPr>
            <a:solidFill>
              <a:srgbClr val="FF9999"/>
            </a:solidFill>
            <a:ln>
              <a:solidFill>
                <a:schemeClr val="tx1"/>
              </a:solidFill>
            </a:ln>
            <a:effectLst>
              <a:outerShdw blurRad="50800" dist="38100" dir="18900000" algn="bl" rotWithShape="0">
                <a:prstClr val="black">
                  <a:alpha val="40000"/>
                </a:prstClr>
              </a:outerShdw>
            </a:effectLst>
            <a:scene3d>
              <a:camera prst="orthographicFront"/>
              <a:lightRig rig="threePt" dir="t"/>
            </a:scene3d>
            <a:sp3d/>
          </c:spPr>
          <c:invertIfNegative val="0"/>
          <c:dPt>
            <c:idx val="7"/>
            <c:invertIfNegative val="0"/>
            <c:bubble3D val="0"/>
            <c:extLst>
              <c:ext xmlns:c16="http://schemas.microsoft.com/office/drawing/2014/chart" uri="{C3380CC4-5D6E-409C-BE32-E72D297353CC}">
                <c16:uniqueId val="{00000001-E88B-4F95-A036-45FFE680B378}"/>
              </c:ext>
            </c:extLst>
          </c:dPt>
          <c:dPt>
            <c:idx val="9"/>
            <c:invertIfNegative val="0"/>
            <c:bubble3D val="0"/>
            <c:spPr>
              <a:solidFill>
                <a:srgbClr val="C00000"/>
              </a:solidFill>
              <a:ln>
                <a:solidFill>
                  <a:schemeClr val="tx1"/>
                </a:solidFill>
              </a:ln>
              <a:effectLst>
                <a:outerShdw blurRad="50800" dist="38100" dir="18900000" algn="bl" rotWithShape="0">
                  <a:prstClr val="black">
                    <a:alpha val="40000"/>
                  </a:prstClr>
                </a:outerShdw>
              </a:effectLst>
              <a:scene3d>
                <a:camera prst="orthographicFront"/>
                <a:lightRig rig="threePt" dir="t"/>
              </a:scene3d>
              <a:sp3d/>
            </c:spPr>
            <c:extLst>
              <c:ext xmlns:c16="http://schemas.microsoft.com/office/drawing/2014/chart" uri="{C3380CC4-5D6E-409C-BE32-E72D297353CC}">
                <c16:uniqueId val="{00000005-1533-4996-8C0A-D667145177DA}"/>
              </c:ext>
            </c:extLst>
          </c:dPt>
          <c:dPt>
            <c:idx val="10"/>
            <c:invertIfNegative val="0"/>
            <c:bubble3D val="0"/>
            <c:extLst>
              <c:ext xmlns:c16="http://schemas.microsoft.com/office/drawing/2014/chart" uri="{C3380CC4-5D6E-409C-BE32-E72D297353CC}">
                <c16:uniqueId val="{00000002-E88B-4F95-A036-45FFE680B378}"/>
              </c:ext>
            </c:extLst>
          </c:dPt>
          <c:dPt>
            <c:idx val="13"/>
            <c:invertIfNegative val="0"/>
            <c:bubble3D val="0"/>
            <c:extLst>
              <c:ext xmlns:c16="http://schemas.microsoft.com/office/drawing/2014/chart" uri="{C3380CC4-5D6E-409C-BE32-E72D297353CC}">
                <c16:uniqueId val="{00000003-E88B-4F95-A036-45FFE680B378}"/>
              </c:ext>
            </c:extLst>
          </c:dPt>
          <c:dLbls>
            <c:dLbl>
              <c:idx val="7"/>
              <c:spPr>
                <a:noFill/>
                <a:ln>
                  <a:noFill/>
                </a:ln>
                <a:effectLst/>
              </c:spPr>
              <c:txPr>
                <a:bodyPr rot="0" spcFirstLastPara="1" vertOverflow="ellipsis" vert="horz" wrap="square" lIns="38100" tIns="19050" rIns="38100" bIns="19050" anchor="ctr" anchorCtr="1">
                  <a:spAutoFit/>
                </a:bodyPr>
                <a:lstStyle/>
                <a:p>
                  <a:pPr>
                    <a:defRPr sz="6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extLst>
                <c:ext xmlns:c16="http://schemas.microsoft.com/office/drawing/2014/chart" uri="{C3380CC4-5D6E-409C-BE32-E72D297353CC}">
                  <c16:uniqueId val="{00000001-E88B-4F95-A036-45FFE680B378}"/>
                </c:ext>
              </c:extLst>
            </c:dLbl>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Sheet1!$A$2:$A$21</c:f>
              <c:strCache>
                <c:ptCount val="20"/>
                <c:pt idx="0">
                  <c:v>Obligaciones </c:v>
                </c:pt>
                <c:pt idx="1">
                  <c:v>Economía</c:v>
                </c:pt>
                <c:pt idx="2">
                  <c:v>Secretarías</c:v>
                </c:pt>
                <c:pt idx="3">
                  <c:v>Cultura</c:v>
                </c:pt>
                <c:pt idx="4">
                  <c:v>Desarrollo</c:v>
                </c:pt>
                <c:pt idx="5">
                  <c:v>Agricultura</c:v>
                </c:pt>
                <c:pt idx="6">
                  <c:v>Energía</c:v>
                </c:pt>
                <c:pt idx="7">
                  <c:v>Presidencia</c:v>
                </c:pt>
                <c:pt idx="8">
                  <c:v>Defensa </c:v>
                </c:pt>
                <c:pt idx="9">
                  <c:v>Total</c:v>
                </c:pt>
                <c:pt idx="10">
                  <c:v>Finanzas</c:v>
                </c:pt>
                <c:pt idx="11">
                  <c:v>Comunicaciones</c:v>
                </c:pt>
                <c:pt idx="12">
                  <c:v>MINREX</c:v>
                </c:pt>
                <c:pt idx="13">
                  <c:v>Ambiente </c:v>
                </c:pt>
                <c:pt idx="14">
                  <c:v>Trabajo </c:v>
                </c:pt>
                <c:pt idx="15">
                  <c:v>Educación </c:v>
                </c:pt>
                <c:pt idx="16">
                  <c:v>Gobernación</c:v>
                </c:pt>
                <c:pt idx="17">
                  <c:v>Salud Pública </c:v>
                </c:pt>
                <c:pt idx="18">
                  <c:v>Deuda Pública</c:v>
                </c:pt>
                <c:pt idx="19">
                  <c:v>PGN</c:v>
                </c:pt>
              </c:strCache>
            </c:strRef>
          </c:cat>
          <c:val>
            <c:numRef>
              <c:f>Sheet1!$B$2:$B$21</c:f>
              <c:numCache>
                <c:formatCode>0.0</c:formatCode>
                <c:ptCount val="20"/>
                <c:pt idx="0">
                  <c:v>29.991958118745497</c:v>
                </c:pt>
                <c:pt idx="1">
                  <c:v>30.022783232265134</c:v>
                </c:pt>
                <c:pt idx="2">
                  <c:v>31.822475153204106</c:v>
                </c:pt>
                <c:pt idx="3">
                  <c:v>32.333960037280143</c:v>
                </c:pt>
                <c:pt idx="4">
                  <c:v>33.343657148780693</c:v>
                </c:pt>
                <c:pt idx="5">
                  <c:v>34.743320611037191</c:v>
                </c:pt>
                <c:pt idx="6">
                  <c:v>36.945640315378171</c:v>
                </c:pt>
                <c:pt idx="7">
                  <c:v>37.216609798927621</c:v>
                </c:pt>
                <c:pt idx="8">
                  <c:v>38.106688790256491</c:v>
                </c:pt>
                <c:pt idx="9">
                  <c:v>38.511876533591469</c:v>
                </c:pt>
                <c:pt idx="10">
                  <c:v>38.639442654684743</c:v>
                </c:pt>
                <c:pt idx="11">
                  <c:v>38.949070991445069</c:v>
                </c:pt>
                <c:pt idx="12">
                  <c:v>40.582557887944645</c:v>
                </c:pt>
                <c:pt idx="13">
                  <c:v>41.003737497044995</c:v>
                </c:pt>
                <c:pt idx="14">
                  <c:v>43.436447306430424</c:v>
                </c:pt>
                <c:pt idx="15">
                  <c:v>44.69471788200709</c:v>
                </c:pt>
                <c:pt idx="16">
                  <c:v>45.440019123825124</c:v>
                </c:pt>
                <c:pt idx="17">
                  <c:v>46.486397917342003</c:v>
                </c:pt>
                <c:pt idx="18">
                  <c:v>48.475862253165417</c:v>
                </c:pt>
                <c:pt idx="19">
                  <c:v>52.860430683257967</c:v>
                </c:pt>
              </c:numCache>
            </c:numRef>
          </c:val>
          <c:extLst>
            <c:ext xmlns:c16="http://schemas.microsoft.com/office/drawing/2014/chart" uri="{C3380CC4-5D6E-409C-BE32-E72D297353CC}">
              <c16:uniqueId val="{00000004-E88B-4F95-A036-45FFE680B378}"/>
            </c:ext>
          </c:extLst>
        </c:ser>
        <c:dLbls>
          <c:showLegendKey val="0"/>
          <c:showVal val="0"/>
          <c:showCatName val="0"/>
          <c:showSerName val="0"/>
          <c:showPercent val="0"/>
          <c:showBubbleSize val="0"/>
        </c:dLbls>
        <c:gapWidth val="99"/>
        <c:axId val="584502968"/>
        <c:axId val="584496080"/>
      </c:barChart>
      <c:catAx>
        <c:axId val="58450296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crossAx val="584496080"/>
        <c:crosses val="autoZero"/>
        <c:auto val="1"/>
        <c:lblAlgn val="ctr"/>
        <c:lblOffset val="100"/>
        <c:noMultiLvlLbl val="0"/>
      </c:catAx>
      <c:valAx>
        <c:axId val="584496080"/>
        <c:scaling>
          <c:orientation val="minMax"/>
        </c:scaling>
        <c:delete val="0"/>
        <c:axPos val="b"/>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6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crossAx val="58450296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s-GT"/>
    </a:p>
  </c:txPr>
  <c:externalData r:id="rId3">
    <c:autoUpdate val="0"/>
  </c:externalData>
  <c:userShapes r:id="rId4"/>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Times New Roman" panose="02020603050405020304" pitchFamily="18" charset="0"/>
                <a:ea typeface="+mj-ea"/>
                <a:cs typeface="Times New Roman" panose="02020603050405020304" pitchFamily="18" charset="0"/>
              </a:defRPr>
            </a:pPr>
            <a:r>
              <a:rPr lang="en-US" sz="1200" b="1">
                <a:solidFill>
                  <a:sysClr val="windowText" lastClr="000000"/>
                </a:solidFill>
              </a:rPr>
              <a:t>Ingresos Totales por clasificación MEFP</a:t>
            </a:r>
          </a:p>
          <a:p>
            <a:pPr>
              <a:defRPr/>
            </a:pPr>
            <a:r>
              <a:rPr lang="en-US" sz="1100" b="1">
                <a:solidFill>
                  <a:sysClr val="windowText" lastClr="000000"/>
                </a:solidFill>
              </a:rPr>
              <a:t>Variación interanual acumulada a junio 2021*</a:t>
            </a:r>
          </a:p>
          <a:p>
            <a:pPr>
              <a:defRPr/>
            </a:pPr>
            <a:r>
              <a:rPr lang="en-US" sz="1000" b="0">
                <a:solidFill>
                  <a:sysClr val="windowText" lastClr="000000"/>
                </a:solidFill>
              </a:rPr>
              <a:t>En millones de Quetzales</a:t>
            </a:r>
          </a:p>
        </c:rich>
      </c:tx>
      <c:layout>
        <c:manualLayout>
          <c:xMode val="edge"/>
          <c:yMode val="edge"/>
          <c:x val="0.26254132099927324"/>
          <c:y val="0"/>
        </c:manualLayout>
      </c:layout>
      <c:overlay val="0"/>
      <c:spPr>
        <a:noFill/>
        <a:ln>
          <a:noFill/>
        </a:ln>
        <a:effectLst/>
      </c:spPr>
      <c:txPr>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Times New Roman" panose="02020603050405020304" pitchFamily="18" charset="0"/>
              <a:ea typeface="+mj-ea"/>
              <a:cs typeface="Times New Roman" panose="02020603050405020304" pitchFamily="18" charset="0"/>
            </a:defRPr>
          </a:pPr>
          <a:endParaRPr lang="es-GT"/>
        </a:p>
      </c:txPr>
    </c:title>
    <c:autoTitleDeleted val="0"/>
    <c:plotArea>
      <c:layout>
        <c:manualLayout>
          <c:layoutTarget val="inner"/>
          <c:xMode val="edge"/>
          <c:yMode val="edge"/>
          <c:x val="4.0408336877924285E-2"/>
          <c:y val="0.34659124681169312"/>
          <c:w val="0.94778901254952663"/>
          <c:h val="0.52516451826765109"/>
        </c:manualLayout>
      </c:layout>
      <c:barChart>
        <c:barDir val="col"/>
        <c:grouping val="clustered"/>
        <c:varyColors val="0"/>
        <c:ser>
          <c:idx val="0"/>
          <c:order val="0"/>
          <c:tx>
            <c:strRef>
              <c:f>Hoja1!$B$1</c:f>
              <c:strCache>
                <c:ptCount val="1"/>
                <c:pt idx="0">
                  <c:v>Diferencia acumulada en Q</c:v>
                </c:pt>
              </c:strCache>
            </c:strRef>
          </c:tx>
          <c:spPr>
            <a:solidFill>
              <a:srgbClr val="1F497D"/>
            </a:solidFill>
            <a:ln>
              <a:solidFill>
                <a:schemeClr val="tx1"/>
              </a:solidFill>
            </a:ln>
            <a:effectLst>
              <a:outerShdw blurRad="50800" dist="38100" dir="18900000" algn="bl" rotWithShape="0">
                <a:prstClr val="black">
                  <a:alpha val="40000"/>
                </a:prstClr>
              </a:outerShdw>
            </a:effectLst>
          </c:spPr>
          <c:invertIfNegative val="1"/>
          <c:dPt>
            <c:idx val="0"/>
            <c:invertIfNegative val="1"/>
            <c:bubble3D val="0"/>
            <c:spPr>
              <a:solidFill>
                <a:schemeClr val="tx2"/>
              </a:solidFill>
              <a:ln>
                <a:solidFill>
                  <a:schemeClr val="tx1"/>
                </a:solidFill>
              </a:ln>
              <a:effectLst>
                <a:outerShdw blurRad="50800" dist="38100" dir="18900000" algn="bl" rotWithShape="0">
                  <a:prstClr val="black">
                    <a:alpha val="40000"/>
                  </a:prstClr>
                </a:outerShdw>
              </a:effectLst>
            </c:spPr>
            <c:extLst>
              <c:ext xmlns:c16="http://schemas.microsoft.com/office/drawing/2014/chart" uri="{C3380CC4-5D6E-409C-BE32-E72D297353CC}">
                <c16:uniqueId val="{00000006-B92F-4C00-9E78-64F63BD23BD3}"/>
              </c:ext>
            </c:extLst>
          </c:dPt>
          <c:dPt>
            <c:idx val="3"/>
            <c:invertIfNegative val="0"/>
            <c:bubble3D val="0"/>
            <c:spPr>
              <a:solidFill>
                <a:schemeClr val="accent2"/>
              </a:solidFill>
              <a:ln>
                <a:solidFill>
                  <a:schemeClr val="tx1"/>
                </a:solidFill>
              </a:ln>
              <a:effectLst>
                <a:outerShdw blurRad="50800" dist="38100" dir="18900000" algn="bl" rotWithShape="0">
                  <a:prstClr val="black">
                    <a:alpha val="40000"/>
                  </a:prstClr>
                </a:outerShdw>
              </a:effectLst>
            </c:spPr>
            <c:extLst>
              <c:ext xmlns:c16="http://schemas.microsoft.com/office/drawing/2014/chart" uri="{C3380CC4-5D6E-409C-BE32-E72D297353CC}">
                <c16:uniqueId val="{00000003-1D57-4DF7-9501-E79952108022}"/>
              </c:ext>
            </c:extLst>
          </c:dPt>
          <c:dPt>
            <c:idx val="4"/>
            <c:invertIfNegative val="0"/>
            <c:bubble3D val="0"/>
            <c:spPr>
              <a:solidFill>
                <a:schemeClr val="accent3"/>
              </a:solidFill>
              <a:ln>
                <a:solidFill>
                  <a:schemeClr val="tx1"/>
                </a:solidFill>
              </a:ln>
              <a:effectLst>
                <a:outerShdw blurRad="50800" dist="38100" dir="18900000" algn="bl" rotWithShape="0">
                  <a:prstClr val="black">
                    <a:alpha val="40000"/>
                  </a:prstClr>
                </a:outerShdw>
              </a:effectLst>
            </c:spPr>
            <c:extLst>
              <c:ext xmlns:c16="http://schemas.microsoft.com/office/drawing/2014/chart" uri="{C3380CC4-5D6E-409C-BE32-E72D297353CC}">
                <c16:uniqueId val="{00000002-1D57-4DF7-9501-E79952108022}"/>
              </c:ext>
            </c:extLst>
          </c:dPt>
          <c:dLbls>
            <c:dLbl>
              <c:idx val="4"/>
              <c:spPr>
                <a:noFill/>
                <a:ln>
                  <a:noFill/>
                </a:ln>
                <a:effectLst/>
              </c:spPr>
              <c:txPr>
                <a:bodyPr rot="0" spcFirstLastPara="1" vertOverflow="ellipsis" vert="horz" wrap="square" anchor="ctr" anchorCtr="1"/>
                <a:lstStyle/>
                <a:p>
                  <a:pPr>
                    <a:defRPr sz="900" b="0" i="0" u="none" strike="noStrike" kern="1200" baseline="0">
                      <a:solidFill>
                        <a:schemeClr val="accent3">
                          <a:lumMod val="75000"/>
                        </a:schemeClr>
                      </a:solidFill>
                      <a:latin typeface="+mn-lt"/>
                      <a:ea typeface="+mn-ea"/>
                      <a:cs typeface="+mn-cs"/>
                    </a:defRPr>
                  </a:pPr>
                  <a:endParaRPr lang="es-GT"/>
                </a:p>
              </c:txPr>
              <c:showLegendKey val="0"/>
              <c:showVal val="1"/>
              <c:showCatName val="0"/>
              <c:showSerName val="0"/>
              <c:showPercent val="0"/>
              <c:showBubbleSize val="0"/>
              <c:extLst>
                <c:ext xmlns:c16="http://schemas.microsoft.com/office/drawing/2014/chart" uri="{C3380CC4-5D6E-409C-BE32-E72D297353CC}">
                  <c16:uniqueId val="{00000002-1D57-4DF7-9501-E79952108022}"/>
                </c:ext>
              </c:extLst>
            </c:dLbl>
            <c:spPr>
              <a:noFill/>
              <a:ln>
                <a:noFill/>
              </a:ln>
              <a:effectLst/>
            </c:spPr>
            <c:txPr>
              <a:bodyPr rot="0" spcFirstLastPara="1" vertOverflow="ellipsis" vert="horz" wrap="square" anchor="ctr" anchorCtr="1"/>
              <a:lstStyle/>
              <a:p>
                <a:pPr>
                  <a:defRPr sz="900" b="0" i="0" u="none" strike="noStrike" kern="1200" baseline="0">
                    <a:solidFill>
                      <a:schemeClr val="accent5"/>
                    </a:solidFill>
                    <a:latin typeface="+mn-lt"/>
                    <a:ea typeface="+mn-ea"/>
                    <a:cs typeface="+mn-cs"/>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Hoja1!$A$2:$A$6</c:f>
              <c:strCache>
                <c:ptCount val="5"/>
                <c:pt idx="0">
                  <c:v>Impuestos </c:v>
                </c:pt>
                <c:pt idx="1">
                  <c:v>Otros ingresos </c:v>
                </c:pt>
                <c:pt idx="2">
                  <c:v>Contribuciones sociales </c:v>
                </c:pt>
                <c:pt idx="3">
                  <c:v>Donaciones </c:v>
                </c:pt>
                <c:pt idx="4">
                  <c:v>Ingresos Totales</c:v>
                </c:pt>
              </c:strCache>
            </c:strRef>
          </c:cat>
          <c:val>
            <c:numRef>
              <c:f>Hoja1!$B$2:$B$6</c:f>
              <c:numCache>
                <c:formatCode>#,##0.0_ ;[Red]\-#,##0.0\ </c:formatCode>
                <c:ptCount val="5"/>
                <c:pt idx="0">
                  <c:v>7433.3534048900001</c:v>
                </c:pt>
                <c:pt idx="1">
                  <c:v>104.14643653999997</c:v>
                </c:pt>
                <c:pt idx="2">
                  <c:v>80.087526929999967</c:v>
                </c:pt>
                <c:pt idx="3">
                  <c:v>58.524951299999998</c:v>
                </c:pt>
                <c:pt idx="4">
                  <c:v>7676.1123196600001</c:v>
                </c:pt>
              </c:numCache>
            </c:numRef>
          </c:val>
          <c:extLst>
            <c:ext xmlns:c14="http://schemas.microsoft.com/office/drawing/2007/8/2/chart" uri="{6F2FDCE9-48DA-4B69-8628-5D25D57E5C99}">
              <c14:invertSolidFillFmt>
                <c14:spPr xmlns:c14="http://schemas.microsoft.com/office/drawing/2007/8/2/chart">
                  <a:solidFill>
                    <a:srgbClr val="C0504D"/>
                  </a:solidFill>
                  <a:ln>
                    <a:solidFill>
                      <a:schemeClr val="tx1"/>
                    </a:solidFill>
                  </a:ln>
                  <a:effectLst>
                    <a:outerShdw blurRad="50800" dist="38100" dir="18900000" algn="bl" rotWithShape="0">
                      <a:prstClr val="black">
                        <a:alpha val="40000"/>
                      </a:prstClr>
                    </a:outerShdw>
                  </a:effectLst>
                </c14:spPr>
              </c14:invertSolidFillFmt>
            </c:ext>
            <c:ext xmlns:c16="http://schemas.microsoft.com/office/drawing/2014/chart" uri="{C3380CC4-5D6E-409C-BE32-E72D297353CC}">
              <c16:uniqueId val="{00000000-B92F-4C00-9E78-64F63BD23BD3}"/>
            </c:ext>
          </c:extLst>
        </c:ser>
        <c:dLbls>
          <c:showLegendKey val="0"/>
          <c:showVal val="0"/>
          <c:showCatName val="0"/>
          <c:showSerName val="0"/>
          <c:showPercent val="0"/>
          <c:showBubbleSize val="0"/>
        </c:dLbls>
        <c:gapWidth val="267"/>
        <c:axId val="415018800"/>
        <c:axId val="408568416"/>
      </c:barChart>
      <c:catAx>
        <c:axId val="415018800"/>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low"/>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800" b="1" i="0" u="none" strike="noStrike" kern="1200" cap="none" spc="0" normalizeH="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crossAx val="408568416"/>
        <c:crosses val="autoZero"/>
        <c:auto val="1"/>
        <c:lblAlgn val="ctr"/>
        <c:lblOffset val="100"/>
        <c:noMultiLvlLbl val="0"/>
      </c:catAx>
      <c:valAx>
        <c:axId val="408568416"/>
        <c:scaling>
          <c:orientation val="minMax"/>
        </c:scaling>
        <c:delete val="0"/>
        <c:axPos val="l"/>
        <c:majorGridlines>
          <c:spPr>
            <a:ln w="9525" cap="flat" cmpd="sng" algn="ctr">
              <a:solidFill>
                <a:schemeClr val="dk1">
                  <a:lumMod val="15000"/>
                  <a:lumOff val="85000"/>
                </a:schemeClr>
              </a:solidFill>
              <a:round/>
            </a:ln>
            <a:effectLst/>
          </c:spPr>
        </c:majorGridlines>
        <c:numFmt formatCode="#,##0_ ;[Red]\-#,##0\ "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415018800"/>
        <c:crosses val="autoZero"/>
        <c:crossBetween val="between"/>
      </c:valAx>
      <c:spPr>
        <a:pattFill prst="ltDnDiag">
          <a:fgClr>
            <a:schemeClr val="dk1">
              <a:lumMod val="15000"/>
              <a:lumOff val="85000"/>
            </a:schemeClr>
          </a:fgClr>
          <a:bgClr>
            <a:schemeClr val="lt1"/>
          </a:bgClr>
        </a:patt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es-GT"/>
    </a:p>
  </c:txPr>
  <c:externalData r:id="rId3">
    <c:autoUpdate val="0"/>
  </c:externalData>
  <c:userShapes r:id="rId4"/>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0" i="0" u="none" strike="noStrike" kern="1200" cap="none" spc="0" normalizeH="0" baseline="0">
                <a:solidFill>
                  <a:sysClr val="windowText" lastClr="000000"/>
                </a:solidFill>
                <a:latin typeface="Times New Roman" panose="02020603050405020304" pitchFamily="18" charset="0"/>
                <a:ea typeface="+mj-ea"/>
                <a:cs typeface="Times New Roman" panose="02020603050405020304" pitchFamily="18" charset="0"/>
              </a:defRPr>
            </a:pPr>
            <a:r>
              <a:rPr lang="es-GT" sz="1100" b="1" i="0" baseline="0">
                <a:effectLst/>
              </a:rPr>
              <a:t>Impuestos por clasificación MEFP</a:t>
            </a:r>
            <a:endParaRPr lang="es-GT" sz="1100">
              <a:effectLst/>
            </a:endParaRPr>
          </a:p>
          <a:p>
            <a:pPr>
              <a:defRPr b="0">
                <a:solidFill>
                  <a:sysClr val="windowText" lastClr="000000"/>
                </a:solidFill>
              </a:defRPr>
            </a:pPr>
            <a:r>
              <a:rPr lang="es-GT" sz="1050" b="1" i="0" baseline="0">
                <a:effectLst/>
              </a:rPr>
              <a:t>Variación interanual acumulada a junio* </a:t>
            </a:r>
            <a:endParaRPr lang="es-GT" sz="1050">
              <a:effectLst/>
            </a:endParaRPr>
          </a:p>
          <a:p>
            <a:pPr>
              <a:defRPr b="0">
                <a:solidFill>
                  <a:sysClr val="windowText" lastClr="000000"/>
                </a:solidFill>
              </a:defRPr>
            </a:pPr>
            <a:r>
              <a:rPr lang="es-GT" sz="1000" b="0" i="0" baseline="0">
                <a:effectLst/>
              </a:rPr>
              <a:t>En millones de quetzales</a:t>
            </a:r>
            <a:endParaRPr lang="es-GT" sz="1000">
              <a:effectLst/>
            </a:endParaRPr>
          </a:p>
        </c:rich>
      </c:tx>
      <c:layout>
        <c:manualLayout>
          <c:xMode val="edge"/>
          <c:yMode val="edge"/>
          <c:x val="0.12812953624242659"/>
          <c:y val="1.5077159064901668E-3"/>
        </c:manualLayout>
      </c:layout>
      <c:overlay val="0"/>
      <c:spPr>
        <a:noFill/>
        <a:ln>
          <a:noFill/>
        </a:ln>
        <a:effectLst/>
      </c:spPr>
      <c:txPr>
        <a:bodyPr rot="0" spcFirstLastPara="1" vertOverflow="ellipsis" vert="horz" wrap="square" anchor="ctr" anchorCtr="1"/>
        <a:lstStyle/>
        <a:p>
          <a:pPr>
            <a:defRPr sz="1600" b="0" i="0" u="none" strike="noStrike" kern="1200" cap="none" spc="0" normalizeH="0" baseline="0">
              <a:solidFill>
                <a:sysClr val="windowText" lastClr="000000"/>
              </a:solidFill>
              <a:latin typeface="Times New Roman" panose="02020603050405020304" pitchFamily="18" charset="0"/>
              <a:ea typeface="+mj-ea"/>
              <a:cs typeface="Times New Roman" panose="02020603050405020304" pitchFamily="18" charset="0"/>
            </a:defRPr>
          </a:pPr>
          <a:endParaRPr lang="es-GT"/>
        </a:p>
      </c:txPr>
    </c:title>
    <c:autoTitleDeleted val="0"/>
    <c:plotArea>
      <c:layout>
        <c:manualLayout>
          <c:layoutTarget val="inner"/>
          <c:xMode val="edge"/>
          <c:yMode val="edge"/>
          <c:x val="0.51727859860214098"/>
          <c:y val="0.13769355385600723"/>
          <c:w val="0.40594507166025828"/>
          <c:h val="0.78133900651772603"/>
        </c:manualLayout>
      </c:layout>
      <c:barChart>
        <c:barDir val="bar"/>
        <c:grouping val="clustered"/>
        <c:varyColors val="0"/>
        <c:ser>
          <c:idx val="0"/>
          <c:order val="0"/>
          <c:tx>
            <c:strRef>
              <c:f>Hoja1!$B$1</c:f>
              <c:strCache>
                <c:ptCount val="1"/>
                <c:pt idx="0">
                  <c:v>2021*</c:v>
                </c:pt>
              </c:strCache>
            </c:strRef>
          </c:tx>
          <c:spPr>
            <a:solidFill>
              <a:schemeClr val="accent1"/>
            </a:solidFill>
            <a:ln>
              <a:solidFill>
                <a:sysClr val="windowText" lastClr="000000"/>
              </a:solidFill>
            </a:ln>
            <a:effectLst>
              <a:outerShdw blurRad="50800" dist="38100" dir="18900000" algn="bl" rotWithShape="0">
                <a:prstClr val="black">
                  <a:alpha val="40000"/>
                </a:prstClr>
              </a:outerShdw>
            </a:effectLst>
          </c:spPr>
          <c:invertIfNegative val="0"/>
          <c:dPt>
            <c:idx val="0"/>
            <c:invertIfNegative val="0"/>
            <c:bubble3D val="0"/>
            <c:spPr>
              <a:solidFill>
                <a:srgbClr val="00B0F0"/>
              </a:solidFill>
              <a:ln>
                <a:solidFill>
                  <a:sysClr val="windowText" lastClr="000000"/>
                </a:solidFill>
              </a:ln>
              <a:effectLst>
                <a:outerShdw blurRad="50800" dist="38100" dir="18900000" algn="bl" rotWithShape="0">
                  <a:prstClr val="black">
                    <a:alpha val="40000"/>
                  </a:prstClr>
                </a:outerShdw>
              </a:effectLst>
            </c:spPr>
            <c:extLst>
              <c:ext xmlns:c16="http://schemas.microsoft.com/office/drawing/2014/chart" uri="{C3380CC4-5D6E-409C-BE32-E72D297353CC}">
                <c16:uniqueId val="{00000001-A667-4492-9669-3A5FD083E581}"/>
              </c:ext>
            </c:extLst>
          </c:dPt>
          <c:dLbls>
            <c:dLbl>
              <c:idx val="0"/>
              <c:layout>
                <c:manualLayout>
                  <c:x val="-8.3761439932368009E-2"/>
                  <c:y val="3.282105736782901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667-4492-9669-3A5FD083E581}"/>
                </c:ext>
              </c:extLst>
            </c:dLbl>
            <c:dLbl>
              <c:idx val="1"/>
              <c:layout>
                <c:manualLayout>
                  <c:x val="-2.345493330187659E-3"/>
                  <c:y val="-2.277681786337621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667-4492-9669-3A5FD083E581}"/>
                </c:ext>
              </c:extLst>
            </c:dLbl>
            <c:dLbl>
              <c:idx val="3"/>
              <c:layout>
                <c:manualLayout>
                  <c:x val="0"/>
                  <c:y val="1.399906672888465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55E-4A65-A85B-576CCAA7FD26}"/>
                </c:ext>
              </c:extLst>
            </c:dLbl>
            <c:dLbl>
              <c:idx val="5"/>
              <c:layout>
                <c:manualLayout>
                  <c:x val="-1.5258528129462164E-16"/>
                  <c:y val="9.332711152589826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55E-4A65-A85B-576CCAA7FD26}"/>
                </c:ext>
              </c:extLst>
            </c:dLbl>
            <c:numFmt formatCode="#,##0.0" sourceLinked="0"/>
            <c:spPr>
              <a:noFill/>
              <a:ln>
                <a:noFill/>
              </a:ln>
              <a:effectLst/>
            </c:spPr>
            <c:txPr>
              <a:bodyPr rot="0" spcFirstLastPara="1" vertOverflow="ellipsis" vert="horz" wrap="square" anchor="ctr" anchorCtr="1"/>
              <a:lstStyle/>
              <a:p>
                <a:pPr>
                  <a:defRPr sz="800" b="0" i="0" u="none" strike="noStrike" kern="1200" baseline="0">
                    <a:solidFill>
                      <a:schemeClr val="accent1"/>
                    </a:solidFill>
                    <a:latin typeface="+mn-lt"/>
                    <a:ea typeface="+mn-ea"/>
                    <a:cs typeface="+mn-cs"/>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Hoja1!$A$2:$A$7</c:f>
              <c:strCache>
                <c:ptCount val="6"/>
                <c:pt idx="0">
                  <c:v>Impuestos Totales</c:v>
                </c:pt>
                <c:pt idx="1">
                  <c:v>Impuestos sobre los bienes y servicios </c:v>
                </c:pt>
                <c:pt idx="2">
                  <c:v>Impuestos sobre el ingreso, las utilidades y las ganancias de capital </c:v>
                </c:pt>
                <c:pt idx="3">
                  <c:v>Impuestos sobre el comercio y las transacciones internacionales </c:v>
                </c:pt>
                <c:pt idx="4">
                  <c:v>Otros impuestos </c:v>
                </c:pt>
                <c:pt idx="5">
                  <c:v>Impuestos sobre la propiedad </c:v>
                </c:pt>
              </c:strCache>
            </c:strRef>
          </c:cat>
          <c:val>
            <c:numRef>
              <c:f>Hoja1!$B$2:$B$7</c:f>
              <c:numCache>
                <c:formatCode>#,##0.0_ ;[Red]\-#,##0.0\ </c:formatCode>
                <c:ptCount val="6"/>
                <c:pt idx="0" formatCode="_(* #,##0.00_);_(* \(#,##0.00\);_(* &quot;-&quot;??_);_(@_)">
                  <c:v>7433.3534048900019</c:v>
                </c:pt>
                <c:pt idx="1">
                  <c:v>4868.1326761400014</c:v>
                </c:pt>
                <c:pt idx="2">
                  <c:v>2029.1979936200005</c:v>
                </c:pt>
                <c:pt idx="3">
                  <c:v>437.5751214500001</c:v>
                </c:pt>
                <c:pt idx="4">
                  <c:v>93.716417029999974</c:v>
                </c:pt>
                <c:pt idx="5">
                  <c:v>4.731196650000002</c:v>
                </c:pt>
              </c:numCache>
            </c:numRef>
          </c:val>
          <c:extLst>
            <c:ext xmlns:c16="http://schemas.microsoft.com/office/drawing/2014/chart" uri="{C3380CC4-5D6E-409C-BE32-E72D297353CC}">
              <c16:uniqueId val="{00000003-A667-4492-9669-3A5FD083E581}"/>
            </c:ext>
          </c:extLst>
        </c:ser>
        <c:ser>
          <c:idx val="1"/>
          <c:order val="1"/>
          <c:tx>
            <c:strRef>
              <c:f>Hoja1!$C$1</c:f>
              <c:strCache>
                <c:ptCount val="1"/>
                <c:pt idx="0">
                  <c:v>2020</c:v>
                </c:pt>
              </c:strCache>
            </c:strRef>
          </c:tx>
          <c:spPr>
            <a:solidFill>
              <a:srgbClr val="9BBB59"/>
            </a:solidFill>
            <a:ln>
              <a:solidFill>
                <a:sysClr val="windowText" lastClr="000000"/>
              </a:solidFill>
            </a:ln>
            <a:effectLst>
              <a:outerShdw blurRad="50800" dist="38100" dir="18900000" algn="bl" rotWithShape="0">
                <a:prstClr val="black">
                  <a:alpha val="40000"/>
                </a:prstClr>
              </a:outerShdw>
            </a:effectLst>
          </c:spPr>
          <c:invertIfNegative val="0"/>
          <c:dPt>
            <c:idx val="0"/>
            <c:invertIfNegative val="0"/>
            <c:bubble3D val="0"/>
            <c:spPr>
              <a:solidFill>
                <a:srgbClr val="9BBB59">
                  <a:lumMod val="60000"/>
                  <a:lumOff val="40000"/>
                </a:srgbClr>
              </a:solidFill>
              <a:ln>
                <a:solidFill>
                  <a:sysClr val="windowText" lastClr="000000"/>
                </a:solidFill>
              </a:ln>
              <a:effectLst>
                <a:outerShdw blurRad="50800" dist="38100" dir="18900000" algn="bl" rotWithShape="0">
                  <a:prstClr val="black">
                    <a:alpha val="40000"/>
                  </a:prstClr>
                </a:outerShdw>
              </a:effectLst>
            </c:spPr>
            <c:extLst>
              <c:ext xmlns:c16="http://schemas.microsoft.com/office/drawing/2014/chart" uri="{C3380CC4-5D6E-409C-BE32-E72D297353CC}">
                <c16:uniqueId val="{00000005-A667-4492-9669-3A5FD083E581}"/>
              </c:ext>
            </c:extLst>
          </c:dPt>
          <c:dLbls>
            <c:dLbl>
              <c:idx val="0"/>
              <c:layout>
                <c:manualLayout>
                  <c:x val="-8.3226019968477716E-3"/>
                  <c:y val="-8.569150699166017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667-4492-9669-3A5FD083E581}"/>
                </c:ext>
              </c:extLst>
            </c:dLbl>
            <c:dLbl>
              <c:idx val="1"/>
              <c:layout>
                <c:manualLayout>
                  <c:x val="3.2767439650568024E-7"/>
                  <c:y val="4.682829334595878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A667-4492-9669-3A5FD083E581}"/>
                </c:ext>
              </c:extLst>
            </c:dLbl>
            <c:numFmt formatCode="#,##0.0" sourceLinked="0"/>
            <c:spPr>
              <a:noFill/>
              <a:ln>
                <a:noFill/>
              </a:ln>
              <a:effectLst/>
            </c:spPr>
            <c:txPr>
              <a:bodyPr rot="0" spcFirstLastPara="1" vertOverflow="ellipsis" vert="horz" wrap="square" anchor="ctr" anchorCtr="1"/>
              <a:lstStyle/>
              <a:p>
                <a:pPr>
                  <a:defRPr sz="800" b="0" i="0" u="none" strike="noStrike" kern="1200" baseline="0">
                    <a:solidFill>
                      <a:schemeClr val="accent3">
                        <a:lumMod val="75000"/>
                      </a:schemeClr>
                    </a:solidFill>
                    <a:latin typeface="+mn-lt"/>
                    <a:ea typeface="+mn-ea"/>
                    <a:cs typeface="+mn-cs"/>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Hoja1!$A$2:$A$7</c:f>
              <c:strCache>
                <c:ptCount val="6"/>
                <c:pt idx="0">
                  <c:v>Impuestos Totales</c:v>
                </c:pt>
                <c:pt idx="1">
                  <c:v>Impuestos sobre los bienes y servicios </c:v>
                </c:pt>
                <c:pt idx="2">
                  <c:v>Impuestos sobre el ingreso, las utilidades y las ganancias de capital </c:v>
                </c:pt>
                <c:pt idx="3">
                  <c:v>Impuestos sobre el comercio y las transacciones internacionales </c:v>
                </c:pt>
                <c:pt idx="4">
                  <c:v>Otros impuestos </c:v>
                </c:pt>
                <c:pt idx="5">
                  <c:v>Impuestos sobre la propiedad </c:v>
                </c:pt>
              </c:strCache>
            </c:strRef>
          </c:cat>
          <c:val>
            <c:numRef>
              <c:f>Hoja1!$C$2:$C$7</c:f>
              <c:numCache>
                <c:formatCode>_(* #,##0.00_);_(* \(#,##0.00\);_(* "-"??_);_(@_)</c:formatCode>
                <c:ptCount val="6"/>
                <c:pt idx="0">
                  <c:v>-1585.5719882600047</c:v>
                </c:pt>
                <c:pt idx="1">
                  <c:v>-1366.4908125000038</c:v>
                </c:pt>
                <c:pt idx="2">
                  <c:v>72.366921859998911</c:v>
                </c:pt>
                <c:pt idx="3">
                  <c:v>-227.02904043999979</c:v>
                </c:pt>
                <c:pt idx="4">
                  <c:v>-54.387196629999977</c:v>
                </c:pt>
                <c:pt idx="5">
                  <c:v>-10.031860550000001</c:v>
                </c:pt>
              </c:numCache>
            </c:numRef>
          </c:val>
          <c:extLst>
            <c:ext xmlns:c16="http://schemas.microsoft.com/office/drawing/2014/chart" uri="{C3380CC4-5D6E-409C-BE32-E72D297353CC}">
              <c16:uniqueId val="{00000007-A667-4492-9669-3A5FD083E581}"/>
            </c:ext>
          </c:extLst>
        </c:ser>
        <c:dLbls>
          <c:showLegendKey val="0"/>
          <c:showVal val="0"/>
          <c:showCatName val="0"/>
          <c:showSerName val="0"/>
          <c:showPercent val="0"/>
          <c:showBubbleSize val="0"/>
        </c:dLbls>
        <c:gapWidth val="247"/>
        <c:axId val="1916956256"/>
        <c:axId val="1924152624"/>
      </c:barChart>
      <c:catAx>
        <c:axId val="1916956256"/>
        <c:scaling>
          <c:orientation val="minMax"/>
        </c:scaling>
        <c:delete val="0"/>
        <c:axPos val="l"/>
        <c:majorGridlines>
          <c:spPr>
            <a:ln w="9525" cap="flat" cmpd="sng" algn="ctr">
              <a:solidFill>
                <a:schemeClr val="dk1">
                  <a:lumMod val="15000"/>
                  <a:lumOff val="85000"/>
                </a:schemeClr>
              </a:solidFill>
              <a:round/>
            </a:ln>
            <a:effectLst/>
          </c:spPr>
        </c:majorGridlines>
        <c:minorGridlines>
          <c:spPr>
            <a:ln w="9525" cap="flat" cmpd="sng" algn="ctr">
              <a:solidFill>
                <a:schemeClr val="dk1">
                  <a:lumMod val="5000"/>
                  <a:lumOff val="95000"/>
                </a:schemeClr>
              </a:solidFill>
              <a:round/>
            </a:ln>
            <a:effectLst/>
          </c:spPr>
        </c:minorGridlines>
        <c:numFmt formatCode="@" sourceLinked="0"/>
        <c:majorTickMark val="out"/>
        <c:minorTickMark val="none"/>
        <c:tickLblPos val="low"/>
        <c:spPr>
          <a:noFill/>
          <a:ln w="9525" cap="flat" cmpd="sng" algn="ctr">
            <a:solidFill>
              <a:schemeClr val="dk1">
                <a:lumMod val="15000"/>
                <a:lumOff val="85000"/>
              </a:schemeClr>
            </a:solidFill>
            <a:round/>
          </a:ln>
          <a:effectLst/>
        </c:spPr>
        <c:txPr>
          <a:bodyPr rot="0" spcFirstLastPara="1" vertOverflow="ellipsis" wrap="square" anchor="ctr" anchorCtr="0"/>
          <a:lstStyle/>
          <a:p>
            <a:pPr>
              <a:defRPr sz="800" b="1" i="0" u="none" strike="noStrike" kern="1200" cap="none" spc="0" normalizeH="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crossAx val="1924152624"/>
        <c:crosses val="autoZero"/>
        <c:auto val="1"/>
        <c:lblAlgn val="ctr"/>
        <c:lblOffset val="100"/>
        <c:noMultiLvlLbl val="0"/>
      </c:catAx>
      <c:valAx>
        <c:axId val="1924152624"/>
        <c:scaling>
          <c:orientation val="minMax"/>
        </c:scaling>
        <c:delete val="1"/>
        <c:axPos val="b"/>
        <c:numFmt formatCode="_(* #,##0.00_);_(* \(#,##0.00\);_(* &quot;-&quot;??_);_(@_)" sourceLinked="1"/>
        <c:majorTickMark val="none"/>
        <c:minorTickMark val="none"/>
        <c:tickLblPos val="nextTo"/>
        <c:crossAx val="1916956256"/>
        <c:crosses val="autoZero"/>
        <c:crossBetween val="between"/>
      </c:valAx>
      <c:spPr>
        <a:pattFill prst="ltDnDiag">
          <a:fgClr>
            <a:schemeClr val="dk1">
              <a:lumMod val="15000"/>
              <a:lumOff val="85000"/>
            </a:schemeClr>
          </a:fgClr>
          <a:bgClr>
            <a:schemeClr val="lt1"/>
          </a:bgClr>
        </a:pattFill>
        <a:ln>
          <a:noFill/>
        </a:ln>
        <a:effectLst/>
      </c:spPr>
    </c:plotArea>
    <c:legend>
      <c:legendPos val="r"/>
      <c:layout>
        <c:manualLayout>
          <c:xMode val="edge"/>
          <c:yMode val="edge"/>
          <c:x val="0.73277399313849811"/>
          <c:y val="0.10771790114154391"/>
          <c:w val="0.26273621228058097"/>
          <c:h val="0.10061978390368506"/>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GT"/>
        </a:p>
      </c:txPr>
    </c:legend>
    <c:plotVisOnly val="1"/>
    <c:dispBlanksAs val="gap"/>
    <c:showDLblsOverMax val="0"/>
    <c:extLst/>
  </c:chart>
  <c:spPr>
    <a:solidFill>
      <a:schemeClr val="lt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es-GT"/>
    </a:p>
  </c:txPr>
  <c:externalData r:id="rId4">
    <c:autoUpdate val="0"/>
  </c:externalData>
  <c:userShapes r:id="rId5"/>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cap="none" spc="20" baseline="0">
                <a:ln>
                  <a:noFill/>
                </a:ln>
                <a:solidFill>
                  <a:schemeClr val="dk1">
                    <a:lumMod val="50000"/>
                    <a:lumOff val="50000"/>
                  </a:schemeClr>
                </a:solidFill>
                <a:latin typeface="Times New Roman" panose="02020603050405020304" pitchFamily="18" charset="0"/>
                <a:ea typeface="+mn-ea"/>
                <a:cs typeface="Times New Roman" panose="02020603050405020304" pitchFamily="18" charset="0"/>
              </a:defRPr>
            </a:pPr>
            <a:r>
              <a:rPr lang="en-US" sz="1100" b="1" i="0" baseline="0">
                <a:solidFill>
                  <a:sysClr val="windowText" lastClr="000000"/>
                </a:solidFill>
                <a:effectLst/>
              </a:rPr>
              <a:t>Gasto Total</a:t>
            </a:r>
            <a:endParaRPr lang="es-GT" sz="1100" b="1">
              <a:solidFill>
                <a:sysClr val="windowText" lastClr="000000"/>
              </a:solidFill>
              <a:effectLst/>
            </a:endParaRPr>
          </a:p>
          <a:p>
            <a:pPr>
              <a:defRPr>
                <a:ln>
                  <a:noFill/>
                </a:ln>
              </a:defRPr>
            </a:pPr>
            <a:r>
              <a:rPr lang="en-US" sz="1050" b="1" i="0" baseline="0">
                <a:solidFill>
                  <a:sysClr val="windowText" lastClr="000000"/>
                </a:solidFill>
                <a:effectLst/>
              </a:rPr>
              <a:t>Variación internanual acumulada</a:t>
            </a:r>
            <a:endParaRPr lang="es-GT" sz="1050" b="1">
              <a:solidFill>
                <a:sysClr val="windowText" lastClr="000000"/>
              </a:solidFill>
              <a:effectLst/>
            </a:endParaRPr>
          </a:p>
          <a:p>
            <a:pPr>
              <a:defRPr>
                <a:ln>
                  <a:noFill/>
                </a:ln>
              </a:defRPr>
            </a:pPr>
            <a:r>
              <a:rPr lang="en-US" sz="1000" b="0" i="0" baseline="0">
                <a:solidFill>
                  <a:sysClr val="windowText" lastClr="000000"/>
                </a:solidFill>
                <a:effectLst/>
              </a:rPr>
              <a:t>En porcentaje</a:t>
            </a:r>
            <a:endParaRPr lang="es-GT" sz="1000" b="0">
              <a:solidFill>
                <a:sysClr val="windowText" lastClr="000000"/>
              </a:solidFill>
            </a:endParaRPr>
          </a:p>
        </c:rich>
      </c:tx>
      <c:layout>
        <c:manualLayout>
          <c:xMode val="edge"/>
          <c:yMode val="edge"/>
          <c:x val="0.15255523320687348"/>
          <c:y val="0"/>
        </c:manualLayout>
      </c:layout>
      <c:overlay val="0"/>
      <c:spPr>
        <a:noFill/>
        <a:ln>
          <a:noFill/>
        </a:ln>
        <a:effectLst/>
      </c:spPr>
      <c:txPr>
        <a:bodyPr rot="0" spcFirstLastPara="1" vertOverflow="ellipsis" vert="horz" wrap="square" anchor="ctr" anchorCtr="1"/>
        <a:lstStyle/>
        <a:p>
          <a:pPr>
            <a:defRPr sz="1400" b="0" i="0" u="none" strike="noStrike" kern="1200" cap="none" spc="20" baseline="0">
              <a:ln>
                <a:noFill/>
              </a:ln>
              <a:solidFill>
                <a:schemeClr val="dk1">
                  <a:lumMod val="50000"/>
                  <a:lumOff val="50000"/>
                </a:schemeClr>
              </a:solidFill>
              <a:latin typeface="Times New Roman" panose="02020603050405020304" pitchFamily="18" charset="0"/>
              <a:ea typeface="+mn-ea"/>
              <a:cs typeface="Times New Roman" panose="02020603050405020304" pitchFamily="18" charset="0"/>
            </a:defRPr>
          </a:pPr>
          <a:endParaRPr lang="es-GT"/>
        </a:p>
      </c:txPr>
    </c:title>
    <c:autoTitleDeleted val="0"/>
    <c:plotArea>
      <c:layout>
        <c:manualLayout>
          <c:layoutTarget val="inner"/>
          <c:xMode val="edge"/>
          <c:yMode val="edge"/>
          <c:x val="9.3777577066423937E-2"/>
          <c:y val="0.26545016109172703"/>
          <c:w val="0.90622242293357602"/>
          <c:h val="0.48333595324177947"/>
        </c:manualLayout>
      </c:layout>
      <c:barChart>
        <c:barDir val="col"/>
        <c:grouping val="clustered"/>
        <c:varyColors val="0"/>
        <c:ser>
          <c:idx val="0"/>
          <c:order val="1"/>
          <c:tx>
            <c:strRef>
              <c:f>Hoja1!$C$1</c:f>
              <c:strCache>
                <c:ptCount val="1"/>
                <c:pt idx="0">
                  <c:v>2020</c:v>
                </c:pt>
              </c:strCache>
            </c:strRef>
          </c:tx>
          <c:spPr>
            <a:solidFill>
              <a:srgbClr val="C0504D"/>
            </a:solidFill>
            <a:ln w="9525" cap="flat" cmpd="sng" algn="ctr">
              <a:solidFill>
                <a:sysClr val="windowText" lastClr="000000"/>
              </a:solidFill>
              <a:round/>
              <a:tailEnd type="triangle"/>
            </a:ln>
            <a:effectLst>
              <a:outerShdw blurRad="50800" dist="38100" dir="18900000" algn="bl" rotWithShape="0">
                <a:prstClr val="black">
                  <a:alpha val="40000"/>
                </a:prstClr>
              </a:outerShdw>
            </a:effectLst>
          </c:spPr>
          <c:invertIfNegative val="0"/>
          <c:dLbls>
            <c:dLbl>
              <c:idx val="0"/>
              <c:layout>
                <c:manualLayout>
                  <c:x val="-1.3389868332961413E-2"/>
                  <c:y val="-6.177076183939601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58F5-45E4-925D-807B206F1490}"/>
                </c:ext>
              </c:extLst>
            </c:dLbl>
            <c:dLbl>
              <c:idx val="1"/>
              <c:layout>
                <c:manualLayout>
                  <c:x val="-4.4632894443204646E-3"/>
                  <c:y val="-6.863417982155113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8F5-45E4-925D-807B206F1490}"/>
                </c:ext>
              </c:extLst>
            </c:dLbl>
            <c:dLbl>
              <c:idx val="5"/>
              <c:layout>
                <c:manualLayout>
                  <c:x val="-1.6365205576923713E-16"/>
                  <c:y val="-7.54975978037062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58F5-45E4-925D-807B206F1490}"/>
                </c:ext>
              </c:extLst>
            </c:dLbl>
            <c:dLbl>
              <c:idx val="7"/>
              <c:layout>
                <c:manualLayout>
                  <c:x val="2.126754572522331E-3"/>
                  <c:y val="-3.41880341880342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E1D-4AC6-8713-E18D74BE5E81}"/>
                </c:ext>
              </c:extLst>
            </c:dLbl>
            <c:dLbl>
              <c:idx val="8"/>
              <c:layout>
                <c:manualLayout>
                  <c:x val="-6.3802637175669925E-3"/>
                  <c:y val="-6.8376068376068383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E1D-4AC6-8713-E18D74BE5E81}"/>
                </c:ext>
              </c:extLst>
            </c:dLbl>
            <c:dLbl>
              <c:idx val="9"/>
              <c:layout>
                <c:manualLayout>
                  <c:x val="0"/>
                  <c:y val="-4.558404558404558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C0A-4D11-A436-5D5F21E01012}"/>
                </c:ext>
              </c:extLst>
            </c:dLbl>
            <c:spPr>
              <a:noFill/>
              <a:ln>
                <a:noFill/>
              </a:ln>
              <a:effectLst/>
            </c:spPr>
            <c:txPr>
              <a:bodyPr rot="0" spcFirstLastPara="1" vertOverflow="ellipsis" vert="horz" wrap="square" anchor="ctr" anchorCtr="1"/>
              <a:lstStyle/>
              <a:p>
                <a:pPr>
                  <a:defRPr sz="700" b="0" i="0" u="none" strike="noStrike" kern="1200" baseline="0">
                    <a:solidFill>
                      <a:srgbClr val="C0504D"/>
                    </a:solidFill>
                    <a:latin typeface="+mn-lt"/>
                    <a:ea typeface="+mn-ea"/>
                    <a:cs typeface="+mn-cs"/>
                  </a:defRPr>
                </a:pPr>
                <a:endParaRPr lang="es-G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Hoja1!$A$2:$A$7</c:f>
              <c:strCache>
                <c:ptCount val="6"/>
                <c:pt idx="0">
                  <c:v>Enero</c:v>
                </c:pt>
                <c:pt idx="1">
                  <c:v>Febrero</c:v>
                </c:pt>
                <c:pt idx="2">
                  <c:v>Marzo</c:v>
                </c:pt>
                <c:pt idx="3">
                  <c:v>Abril</c:v>
                </c:pt>
                <c:pt idx="4">
                  <c:v>Mayo</c:v>
                </c:pt>
                <c:pt idx="5">
                  <c:v>Junio</c:v>
                </c:pt>
              </c:strCache>
            </c:strRef>
          </c:cat>
          <c:val>
            <c:numRef>
              <c:f>Hoja1!$C$2:$C$7</c:f>
              <c:numCache>
                <c:formatCode>_-* #,##0.0_-;\-* #,##0.0_-;_-* "-"??_-;_-@_-</c:formatCode>
                <c:ptCount val="6"/>
                <c:pt idx="0">
                  <c:v>4.0199205175314168</c:v>
                </c:pt>
                <c:pt idx="1">
                  <c:v>2.3196152327942476</c:v>
                </c:pt>
                <c:pt idx="2">
                  <c:v>4.6791549582026803</c:v>
                </c:pt>
                <c:pt idx="3">
                  <c:v>0.54631956604684895</c:v>
                </c:pt>
                <c:pt idx="4">
                  <c:v>0.92851073135655771</c:v>
                </c:pt>
                <c:pt idx="5">
                  <c:v>7.0513269883000884</c:v>
                </c:pt>
              </c:numCache>
            </c:numRef>
          </c:val>
          <c:extLst>
            <c:ext xmlns:c16="http://schemas.microsoft.com/office/drawing/2014/chart" uri="{C3380CC4-5D6E-409C-BE32-E72D297353CC}">
              <c16:uniqueId val="{00000001-6BF2-4B79-BA3C-8105E40095DF}"/>
            </c:ext>
          </c:extLst>
        </c:ser>
        <c:dLbls>
          <c:dLblPos val="ctr"/>
          <c:showLegendKey val="0"/>
          <c:showVal val="1"/>
          <c:showCatName val="0"/>
          <c:showSerName val="0"/>
          <c:showPercent val="0"/>
          <c:showBubbleSize val="0"/>
        </c:dLbls>
        <c:gapWidth val="73"/>
        <c:axId val="1509281743"/>
        <c:axId val="344873055"/>
      </c:barChart>
      <c:lineChart>
        <c:grouping val="standard"/>
        <c:varyColors val="0"/>
        <c:ser>
          <c:idx val="2"/>
          <c:order val="0"/>
          <c:tx>
            <c:strRef>
              <c:f>Hoja1!$B$1</c:f>
              <c:strCache>
                <c:ptCount val="1"/>
                <c:pt idx="0">
                  <c:v>2021*</c:v>
                </c:pt>
              </c:strCache>
            </c:strRef>
          </c:tx>
          <c:spPr>
            <a:ln w="34925" cap="rnd" cmpd="sng" algn="ctr">
              <a:solidFill>
                <a:schemeClr val="accent4"/>
              </a:solidFill>
              <a:round/>
              <a:tailEnd type="none"/>
            </a:ln>
            <a:effectLst>
              <a:outerShdw blurRad="50800" dist="38100" dir="18900000" algn="bl" rotWithShape="0">
                <a:prstClr val="black">
                  <a:alpha val="40000"/>
                </a:prstClr>
              </a:outerShdw>
            </a:effectLst>
          </c:spPr>
          <c:marker>
            <c:symbol val="circle"/>
            <c:size val="6"/>
            <c:spPr>
              <a:solidFill>
                <a:srgbClr val="8064A2"/>
              </a:solidFill>
              <a:ln w="9525" cap="flat" cmpd="sng" algn="ctr">
                <a:solidFill>
                  <a:sysClr val="windowText" lastClr="000000"/>
                </a:solidFill>
                <a:round/>
              </a:ln>
              <a:effectLst>
                <a:outerShdw blurRad="50800" dist="38100" dir="18900000" algn="bl" rotWithShape="0">
                  <a:prstClr val="black">
                    <a:alpha val="40000"/>
                  </a:prstClr>
                </a:outerShdw>
              </a:effectLst>
            </c:spPr>
          </c:marker>
          <c:dPt>
            <c:idx val="8"/>
            <c:marker>
              <c:symbol val="circle"/>
              <c:size val="6"/>
              <c:spPr>
                <a:solidFill>
                  <a:srgbClr val="8064A2"/>
                </a:solidFill>
                <a:ln w="9525" cap="flat" cmpd="sng" algn="ctr">
                  <a:solidFill>
                    <a:sysClr val="windowText" lastClr="000000"/>
                  </a:solidFill>
                  <a:round/>
                </a:ln>
                <a:effectLst>
                  <a:outerShdw blurRad="50800" dist="38100" dir="18900000" algn="bl" rotWithShape="0">
                    <a:prstClr val="black">
                      <a:alpha val="40000"/>
                    </a:prstClr>
                  </a:outerShdw>
                </a:effectLst>
              </c:spPr>
            </c:marker>
            <c:bubble3D val="0"/>
            <c:extLst>
              <c:ext xmlns:c16="http://schemas.microsoft.com/office/drawing/2014/chart" uri="{C3380CC4-5D6E-409C-BE32-E72D297353CC}">
                <c16:uniqueId val="{00000002-2E1D-4AC6-8713-E18D74BE5E81}"/>
              </c:ext>
            </c:extLst>
          </c:dPt>
          <c:dPt>
            <c:idx val="11"/>
            <c:marker>
              <c:symbol val="none"/>
            </c:marker>
            <c:bubble3D val="0"/>
            <c:extLst>
              <c:ext xmlns:c16="http://schemas.microsoft.com/office/drawing/2014/chart" uri="{C3380CC4-5D6E-409C-BE32-E72D297353CC}">
                <c16:uniqueId val="{00000004-6C0A-4D11-A436-5D5F21E01012}"/>
              </c:ext>
            </c:extLst>
          </c:dPt>
          <c:dLbls>
            <c:dLbl>
              <c:idx val="0"/>
              <c:layout>
                <c:manualLayout>
                  <c:x val="-7.9056102142554652E-2"/>
                  <c:y val="-6.858283929333822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8F5-45E4-925D-807B206F1490}"/>
                </c:ext>
              </c:extLst>
            </c:dLbl>
            <c:dLbl>
              <c:idx val="1"/>
              <c:layout>
                <c:manualLayout>
                  <c:x val="-6.3490468065515462E-2"/>
                  <c:y val="-0.12198023119450495"/>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4A6-450C-9CFD-E2045ED58350}"/>
                </c:ext>
              </c:extLst>
            </c:dLbl>
            <c:dLbl>
              <c:idx val="2"/>
              <c:layout>
                <c:manualLayout>
                  <c:x val="-8.0662886342510023E-2"/>
                  <c:y val="6.868552034976410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8F5-45E4-925D-807B206F1490}"/>
                </c:ext>
              </c:extLst>
            </c:dLbl>
            <c:dLbl>
              <c:idx val="5"/>
              <c:layout>
                <c:manualLayout>
                  <c:x val="-4.1095298258438683E-2"/>
                  <c:y val="-0.13721701911488934"/>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58F5-45E4-925D-807B206F1490}"/>
                </c:ext>
              </c:extLst>
            </c:dLbl>
            <c:spPr>
              <a:noFill/>
              <a:ln>
                <a:noFill/>
              </a:ln>
              <a:effectLst/>
            </c:spPr>
            <c:txPr>
              <a:bodyPr rot="0" spcFirstLastPara="1" vertOverflow="ellipsis" vert="horz" wrap="square" anchor="ctr" anchorCtr="1"/>
              <a:lstStyle/>
              <a:p>
                <a:pPr>
                  <a:defRPr sz="700" b="0" i="0" u="none" strike="noStrike" kern="1200" baseline="0">
                    <a:solidFill>
                      <a:srgbClr val="8064A2"/>
                    </a:solidFill>
                    <a:latin typeface="+mn-lt"/>
                    <a:ea typeface="+mn-ea"/>
                    <a:cs typeface="+mn-cs"/>
                  </a:defRPr>
                </a:pPr>
                <a:endParaRPr lang="es-GT"/>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Hoja1!$A$2:$A$7</c:f>
              <c:strCache>
                <c:ptCount val="6"/>
                <c:pt idx="0">
                  <c:v>Enero</c:v>
                </c:pt>
                <c:pt idx="1">
                  <c:v>Febrero</c:v>
                </c:pt>
                <c:pt idx="2">
                  <c:v>Marzo</c:v>
                </c:pt>
                <c:pt idx="3">
                  <c:v>Abril</c:v>
                </c:pt>
                <c:pt idx="4">
                  <c:v>Mayo</c:v>
                </c:pt>
                <c:pt idx="5">
                  <c:v>Junio</c:v>
                </c:pt>
              </c:strCache>
            </c:strRef>
          </c:cat>
          <c:val>
            <c:numRef>
              <c:f>Hoja1!$B$2:$B$7</c:f>
              <c:numCache>
                <c:formatCode>_-* #,##0.0_-;\-* #,##0.0_-;_-* "-"??_-;_-@_-</c:formatCode>
                <c:ptCount val="6"/>
                <c:pt idx="0">
                  <c:v>3.4909704848578249</c:v>
                </c:pt>
                <c:pt idx="1">
                  <c:v>4.8023061086179375</c:v>
                </c:pt>
                <c:pt idx="2">
                  <c:v>-0.1099249986598827</c:v>
                </c:pt>
                <c:pt idx="3">
                  <c:v>9.8657956894710139</c:v>
                </c:pt>
                <c:pt idx="4">
                  <c:v>12.173850626277716</c:v>
                </c:pt>
                <c:pt idx="5">
                  <c:v>4.0146535204382383</c:v>
                </c:pt>
              </c:numCache>
            </c:numRef>
          </c:val>
          <c:smooth val="1"/>
          <c:extLst>
            <c:ext xmlns:c16="http://schemas.microsoft.com/office/drawing/2014/chart" uri="{C3380CC4-5D6E-409C-BE32-E72D297353CC}">
              <c16:uniqueId val="{00000000-6BF2-4B79-BA3C-8105E40095DF}"/>
            </c:ext>
          </c:extLst>
        </c:ser>
        <c:dLbls>
          <c:showLegendKey val="0"/>
          <c:showVal val="0"/>
          <c:showCatName val="0"/>
          <c:showSerName val="0"/>
          <c:showPercent val="0"/>
          <c:showBubbleSize val="0"/>
        </c:dLbls>
        <c:marker val="1"/>
        <c:smooth val="0"/>
        <c:axId val="1509281743"/>
        <c:axId val="344873055"/>
      </c:lineChart>
      <c:catAx>
        <c:axId val="1509281743"/>
        <c:scaling>
          <c:orientation val="minMax"/>
        </c:scaling>
        <c:delete val="0"/>
        <c:axPos val="b"/>
        <c:numFmt formatCode="General" sourceLinked="1"/>
        <c:majorTickMark val="out"/>
        <c:minorTickMark val="none"/>
        <c:tickLblPos val="low"/>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1" i="0" u="none" strike="noStrike" kern="1200" spc="2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crossAx val="344873055"/>
        <c:crosses val="autoZero"/>
        <c:auto val="1"/>
        <c:lblAlgn val="ctr"/>
        <c:lblOffset val="100"/>
        <c:noMultiLvlLbl val="0"/>
      </c:catAx>
      <c:valAx>
        <c:axId val="344873055"/>
        <c:scaling>
          <c:orientation val="minMax"/>
          <c:min val="-3"/>
        </c:scaling>
        <c:delete val="0"/>
        <c:axPos val="l"/>
        <c:numFmt formatCode="#,##0_ ;[Red]\-#,##0\ "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1509281743"/>
        <c:crosses val="autoZero"/>
        <c:crossBetween val="between"/>
      </c:valAx>
      <c:spPr>
        <a:gradFill>
          <a:gsLst>
            <a:gs pos="100000">
              <a:schemeClr val="lt1">
                <a:lumMod val="95000"/>
              </a:schemeClr>
            </a:gs>
            <a:gs pos="0">
              <a:schemeClr val="lt1"/>
            </a:gs>
          </a:gsLst>
          <a:lin ang="5400000" scaled="0"/>
        </a:gradFill>
        <a:ln>
          <a:noFill/>
        </a:ln>
        <a:effectLst/>
      </c:spPr>
    </c:plotArea>
    <c:legend>
      <c:legendPos val="b"/>
      <c:layout>
        <c:manualLayout>
          <c:xMode val="edge"/>
          <c:yMode val="edge"/>
          <c:x val="0.11604552555233207"/>
          <c:y val="0.8861342743962084"/>
          <c:w val="0.4267094486431775"/>
          <c:h val="9.0400879377257326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GT"/>
        </a:p>
      </c:txPr>
    </c:legend>
    <c:plotVisOnly val="1"/>
    <c:dispBlanksAs val="gap"/>
    <c:showDLblsOverMax val="0"/>
    <c:extLst/>
  </c:chart>
  <c:spPr>
    <a:solidFill>
      <a:schemeClr val="lt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es-GT"/>
    </a:p>
  </c:txPr>
  <c:externalData r:id="rId4">
    <c:autoUpdate val="0"/>
  </c:externalData>
  <c:userShapes r:id="rId5"/>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1200" b="1" i="0" baseline="0">
                <a:effectLst/>
              </a:rPr>
              <a:t>Gasto Total por clasificación MEFP</a:t>
            </a:r>
            <a:endParaRPr lang="es-GT" sz="1200">
              <a:effectLst/>
            </a:endParaRPr>
          </a:p>
          <a:p>
            <a:pPr>
              <a:defRPr>
                <a:solidFill>
                  <a:sysClr val="windowText" lastClr="000000"/>
                </a:solidFill>
              </a:defRPr>
            </a:pPr>
            <a:r>
              <a:rPr lang="en-US" sz="1100" b="1" i="0" baseline="0">
                <a:effectLst/>
              </a:rPr>
              <a:t>Variación interanual acumulada a junio 2021*</a:t>
            </a:r>
            <a:endParaRPr lang="es-GT" sz="1100">
              <a:effectLst/>
            </a:endParaRPr>
          </a:p>
          <a:p>
            <a:pPr>
              <a:defRPr>
                <a:solidFill>
                  <a:sysClr val="windowText" lastClr="000000"/>
                </a:solidFill>
              </a:defRPr>
            </a:pPr>
            <a:r>
              <a:rPr lang="en-US" sz="1000" b="0" i="0" baseline="0">
                <a:effectLst/>
              </a:rPr>
              <a:t>En millones de Quetzales</a:t>
            </a:r>
            <a:endParaRPr lang="es-GT" sz="1000">
              <a:effectLst/>
            </a:endParaRPr>
          </a:p>
        </c:rich>
      </c:tx>
      <c:layout>
        <c:manualLayout>
          <c:xMode val="edge"/>
          <c:yMode val="edge"/>
          <c:x val="0.21300342665500147"/>
          <c:y val="0"/>
        </c:manualLayout>
      </c:layout>
      <c:overlay val="0"/>
      <c:spPr>
        <a:noFill/>
        <a:ln>
          <a:noFill/>
        </a:ln>
        <a:effectLst/>
      </c:spPr>
      <c:txPr>
        <a:bodyPr rot="0" spcFirstLastPara="1" vertOverflow="ellipsis" vert="horz" wrap="square" anchor="ctr" anchorCtr="1"/>
        <a:lstStyle/>
        <a:p>
          <a:pPr>
            <a:defRPr sz="16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title>
    <c:autoTitleDeleted val="0"/>
    <c:plotArea>
      <c:layout>
        <c:manualLayout>
          <c:layoutTarget val="inner"/>
          <c:xMode val="edge"/>
          <c:yMode val="edge"/>
          <c:x val="0"/>
          <c:y val="0.25692377458053345"/>
          <c:w val="1"/>
          <c:h val="0.23837199462770378"/>
        </c:manualLayout>
      </c:layout>
      <c:barChart>
        <c:barDir val="col"/>
        <c:grouping val="clustered"/>
        <c:varyColors val="0"/>
        <c:ser>
          <c:idx val="0"/>
          <c:order val="0"/>
          <c:tx>
            <c:strRef>
              <c:f>Hoja1!$B$1</c:f>
              <c:strCache>
                <c:ptCount val="1"/>
                <c:pt idx="0">
                  <c:v>2021*</c:v>
                </c:pt>
              </c:strCache>
            </c:strRef>
          </c:tx>
          <c:spPr>
            <a:solidFill>
              <a:srgbClr val="70AD47"/>
            </a:solidFill>
            <a:ln>
              <a:solidFill>
                <a:sysClr val="windowText" lastClr="000000"/>
              </a:solidFill>
            </a:ln>
            <a:effectLst>
              <a:outerShdw blurRad="50800" dist="38100" dir="18900000" algn="bl" rotWithShape="0">
                <a:prstClr val="black">
                  <a:alpha val="40000"/>
                </a:prstClr>
              </a:outerShdw>
            </a:effectLst>
            <a:scene3d>
              <a:camera prst="orthographicFront"/>
              <a:lightRig rig="threePt" dir="t">
                <a:rot lat="0" lon="0" rev="1200000"/>
              </a:lightRig>
            </a:scene3d>
            <a:sp3d/>
          </c:spPr>
          <c:invertIfNegative val="1"/>
          <c:dPt>
            <c:idx val="0"/>
            <c:invertIfNegative val="1"/>
            <c:bubble3D val="0"/>
            <c:spPr>
              <a:solidFill>
                <a:srgbClr val="9BBB59">
                  <a:lumMod val="50000"/>
                </a:srgbClr>
              </a:solidFill>
              <a:ln>
                <a:solidFill>
                  <a:sysClr val="windowText" lastClr="000000"/>
                </a:solidFill>
              </a:ln>
              <a:effectLst>
                <a:outerShdw blurRad="50800" dist="38100" dir="18900000" algn="bl" rotWithShape="0">
                  <a:prstClr val="black">
                    <a:alpha val="40000"/>
                  </a:prstClr>
                </a:outerShdw>
              </a:effectLst>
              <a:scene3d>
                <a:camera prst="orthographicFront"/>
                <a:lightRig rig="threePt" dir="t">
                  <a:rot lat="0" lon="0" rev="1200000"/>
                </a:lightRig>
              </a:scene3d>
              <a:sp3d/>
            </c:spPr>
            <c:extLst>
              <c:ext xmlns:c16="http://schemas.microsoft.com/office/drawing/2014/chart" uri="{C3380CC4-5D6E-409C-BE32-E72D297353CC}">
                <c16:uniqueId val="{00000007-E90E-47CE-A1AF-24E12632E8F0}"/>
              </c:ext>
            </c:extLst>
          </c:dPt>
          <c:dLbls>
            <c:dLbl>
              <c:idx val="0"/>
              <c:spPr>
                <a:noFill/>
                <a:ln>
                  <a:noFill/>
                </a:ln>
                <a:effectLst/>
              </c:spPr>
              <c:txPr>
                <a:bodyPr rot="0" spcFirstLastPara="1" vertOverflow="ellipsis" vert="horz" wrap="square" anchor="ctr" anchorCtr="1"/>
                <a:lstStyle/>
                <a:p>
                  <a:pPr>
                    <a:defRPr sz="900" b="0" i="0" u="none" strike="noStrike" kern="1200" baseline="0">
                      <a:solidFill>
                        <a:schemeClr val="accent3">
                          <a:lumMod val="75000"/>
                        </a:schemeClr>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extLst>
                <c:ext xmlns:c16="http://schemas.microsoft.com/office/drawing/2014/chart" uri="{C3380CC4-5D6E-409C-BE32-E72D297353CC}">
                  <c16:uniqueId val="{00000007-E90E-47CE-A1AF-24E12632E8F0}"/>
                </c:ext>
              </c:extLst>
            </c:dLbl>
            <c:dLbl>
              <c:idx val="1"/>
              <c:spPr>
                <a:noFill/>
                <a:ln>
                  <a:noFill/>
                </a:ln>
                <a:effectLst/>
              </c:spPr>
              <c:txPr>
                <a:bodyPr rot="0" spcFirstLastPara="1" vertOverflow="ellipsis" vert="horz" wrap="square" anchor="ctr" anchorCtr="1"/>
                <a:lstStyle/>
                <a:p>
                  <a:pPr>
                    <a:defRPr sz="900" b="0" i="0" u="none" strike="noStrike" kern="1200" baseline="0">
                      <a:solidFill>
                        <a:schemeClr val="accent3">
                          <a:lumMod val="75000"/>
                        </a:schemeClr>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extLst>
                <c:ext xmlns:c16="http://schemas.microsoft.com/office/drawing/2014/chart" uri="{C3380CC4-5D6E-409C-BE32-E72D297353CC}">
                  <c16:uniqueId val="{0000000B-E90E-47CE-A1AF-24E12632E8F0}"/>
                </c:ext>
              </c:extLst>
            </c:dLbl>
            <c:dLbl>
              <c:idx val="2"/>
              <c:spPr>
                <a:noFill/>
                <a:ln>
                  <a:noFill/>
                </a:ln>
                <a:effectLst/>
              </c:spPr>
              <c:txPr>
                <a:bodyPr rot="0" spcFirstLastPara="1" vertOverflow="ellipsis" vert="horz" wrap="square" anchor="ctr" anchorCtr="1"/>
                <a:lstStyle/>
                <a:p>
                  <a:pPr>
                    <a:defRPr sz="900" b="0" i="0" u="none" strike="noStrike" kern="1200" baseline="0">
                      <a:solidFill>
                        <a:schemeClr val="accent3">
                          <a:lumMod val="75000"/>
                        </a:schemeClr>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extLst>
                <c:ext xmlns:c16="http://schemas.microsoft.com/office/drawing/2014/chart" uri="{C3380CC4-5D6E-409C-BE32-E72D297353CC}">
                  <c16:uniqueId val="{0000000A-E90E-47CE-A1AF-24E12632E8F0}"/>
                </c:ext>
              </c:extLst>
            </c:dLbl>
            <c:dLbl>
              <c:idx val="3"/>
              <c:spPr>
                <a:noFill/>
                <a:ln>
                  <a:noFill/>
                </a:ln>
                <a:effectLst/>
              </c:spPr>
              <c:txPr>
                <a:bodyPr rot="0" spcFirstLastPara="1" vertOverflow="ellipsis" vert="horz" wrap="square" anchor="ctr" anchorCtr="1"/>
                <a:lstStyle/>
                <a:p>
                  <a:pPr>
                    <a:defRPr sz="900" b="0" i="0" u="none" strike="noStrike" kern="1200" baseline="0">
                      <a:solidFill>
                        <a:schemeClr val="accent3">
                          <a:lumMod val="75000"/>
                        </a:schemeClr>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extLst>
                <c:ext xmlns:c16="http://schemas.microsoft.com/office/drawing/2014/chart" uri="{C3380CC4-5D6E-409C-BE32-E72D297353CC}">
                  <c16:uniqueId val="{00000009-E90E-47CE-A1AF-24E12632E8F0}"/>
                </c:ext>
              </c:extLst>
            </c:dLbl>
            <c:dLbl>
              <c:idx val="4"/>
              <c:spPr>
                <a:noFill/>
                <a:ln>
                  <a:noFill/>
                </a:ln>
                <a:effectLst/>
              </c:spPr>
              <c:txPr>
                <a:bodyPr rot="0" spcFirstLastPara="1" vertOverflow="ellipsis" vert="horz" wrap="square" anchor="ctr" anchorCtr="1"/>
                <a:lstStyle/>
                <a:p>
                  <a:pPr>
                    <a:defRPr sz="900" b="0" i="0" u="none" strike="noStrike" kern="1200" baseline="0">
                      <a:solidFill>
                        <a:schemeClr val="accent3">
                          <a:lumMod val="75000"/>
                        </a:schemeClr>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extLst>
                <c:ext xmlns:c16="http://schemas.microsoft.com/office/drawing/2014/chart" uri="{C3380CC4-5D6E-409C-BE32-E72D297353CC}">
                  <c16:uniqueId val="{00000008-E90E-47CE-A1AF-24E12632E8F0}"/>
                </c:ext>
              </c:extLst>
            </c:dLbl>
            <c:dLbl>
              <c:idx val="5"/>
              <c:spPr>
                <a:noFill/>
                <a:ln>
                  <a:noFill/>
                </a:ln>
                <a:effectLst/>
              </c:spPr>
              <c:txPr>
                <a:bodyPr rot="0" spcFirstLastPara="1" vertOverflow="ellipsis" vert="horz" wrap="square" anchor="ctr" anchorCtr="1"/>
                <a:lstStyle/>
                <a:p>
                  <a:pPr>
                    <a:defRPr sz="900" b="0" i="0" u="none" strike="noStrike" kern="1200" baseline="0">
                      <a:solidFill>
                        <a:schemeClr val="accent3">
                          <a:lumMod val="75000"/>
                        </a:schemeClr>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extLst>
                <c:ext xmlns:c16="http://schemas.microsoft.com/office/drawing/2014/chart" uri="{C3380CC4-5D6E-409C-BE32-E72D297353CC}">
                  <c16:uniqueId val="{00000003-DACA-4772-9D86-D533BD95FF55}"/>
                </c:ext>
              </c:extLst>
            </c:dLbl>
            <c:dLbl>
              <c:idx val="6"/>
              <c:spPr>
                <a:noFill/>
                <a:ln>
                  <a:noFill/>
                </a:ln>
                <a:effectLst/>
              </c:spPr>
              <c:txPr>
                <a:bodyPr rot="0" spcFirstLastPara="1" vertOverflow="ellipsis" vert="horz" wrap="square" anchor="ctr" anchorCtr="1"/>
                <a:lstStyle/>
                <a:p>
                  <a:pPr>
                    <a:defRPr sz="900" b="0" i="0" u="none" strike="noStrike" kern="1200" baseline="0">
                      <a:solidFill>
                        <a:schemeClr val="accent3">
                          <a:lumMod val="75000"/>
                        </a:schemeClr>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extLst>
                <c:ext xmlns:c16="http://schemas.microsoft.com/office/drawing/2014/chart" uri="{C3380CC4-5D6E-409C-BE32-E72D297353CC}">
                  <c16:uniqueId val="{00000004-DACA-4772-9D86-D533BD95FF55}"/>
                </c:ext>
              </c:extLst>
            </c:dLbl>
            <c:dLbl>
              <c:idx val="7"/>
              <c:layout>
                <c:manualLayout>
                  <c:x val="0"/>
                  <c:y val="2.354741202373400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CA9-4339-85B6-CCB3FDC6B9F7}"/>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Hoja1!$A$2:$A$9</c:f>
              <c:strCache>
                <c:ptCount val="8"/>
                <c:pt idx="0">
                  <c:v>Gasto total</c:v>
                </c:pt>
                <c:pt idx="1">
                  <c:v>Uso de bienes y servicios  </c:v>
                </c:pt>
                <c:pt idx="2">
                  <c:v>Intereses </c:v>
                </c:pt>
                <c:pt idx="3">
                  <c:v>Donaciones </c:v>
                </c:pt>
                <c:pt idx="4">
                  <c:v>Remuneración a los empleados </c:v>
                </c:pt>
                <c:pt idx="5">
                  <c:v>Otros gastos </c:v>
                </c:pt>
                <c:pt idx="6">
                  <c:v>Subsidios </c:v>
                </c:pt>
                <c:pt idx="7">
                  <c:v>Prestaciones sociales </c:v>
                </c:pt>
              </c:strCache>
            </c:strRef>
          </c:cat>
          <c:val>
            <c:numRef>
              <c:f>Hoja1!$B$2:$B$9</c:f>
              <c:numCache>
                <c:formatCode>#,##0.0_ ;[Red]\-#,##0.0\ </c:formatCode>
                <c:ptCount val="8"/>
                <c:pt idx="0">
                  <c:v>1519.2659790199955</c:v>
                </c:pt>
                <c:pt idx="1">
                  <c:v>2052.3768067499987</c:v>
                </c:pt>
                <c:pt idx="2">
                  <c:v>751.93041463999998</c:v>
                </c:pt>
                <c:pt idx="3">
                  <c:v>686.96421881999959</c:v>
                </c:pt>
                <c:pt idx="4">
                  <c:v>553.84709761999693</c:v>
                </c:pt>
                <c:pt idx="5">
                  <c:v>-168.82109767999964</c:v>
                </c:pt>
                <c:pt idx="6">
                  <c:v>-598.66162856000017</c:v>
                </c:pt>
                <c:pt idx="7">
                  <c:v>-1758.3698325699997</c:v>
                </c:pt>
              </c:numCache>
            </c:numRef>
          </c:val>
          <c:extLst>
            <c:ext xmlns:c14="http://schemas.microsoft.com/office/drawing/2007/8/2/chart" uri="{6F2FDCE9-48DA-4B69-8628-5D25D57E5C99}">
              <c14:invertSolidFillFmt>
                <c14:spPr xmlns:c14="http://schemas.microsoft.com/office/drawing/2007/8/2/chart">
                  <a:solidFill>
                    <a:srgbClr val="FF0000"/>
                  </a:solidFill>
                  <a:ln>
                    <a:solidFill>
                      <a:sysClr val="windowText" lastClr="000000"/>
                    </a:solidFill>
                  </a:ln>
                  <a:effectLst>
                    <a:outerShdw blurRad="50800" dist="38100" dir="18900000" algn="bl" rotWithShape="0">
                      <a:prstClr val="black">
                        <a:alpha val="40000"/>
                      </a:prstClr>
                    </a:outerShdw>
                  </a:effectLst>
                  <a:scene3d>
                    <a:camera prst="orthographicFront"/>
                    <a:lightRig rig="threePt" dir="t">
                      <a:rot lat="0" lon="0" rev="1200000"/>
                    </a:lightRig>
                  </a:scene3d>
                  <a:sp3d/>
                </c14:spPr>
              </c14:invertSolidFillFmt>
            </c:ext>
            <c:ext xmlns:c16="http://schemas.microsoft.com/office/drawing/2014/chart" uri="{C3380CC4-5D6E-409C-BE32-E72D297353CC}">
              <c16:uniqueId val="{00000000-79AA-42F7-8902-3AA428E266EB}"/>
            </c:ext>
          </c:extLst>
        </c:ser>
        <c:dLbls>
          <c:showLegendKey val="0"/>
          <c:showVal val="0"/>
          <c:showCatName val="0"/>
          <c:showSerName val="0"/>
          <c:showPercent val="0"/>
          <c:showBubbleSize val="0"/>
        </c:dLbls>
        <c:gapWidth val="100"/>
        <c:overlap val="-24"/>
        <c:axId val="596122768"/>
        <c:axId val="317412256"/>
      </c:barChart>
      <c:catAx>
        <c:axId val="59612276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low"/>
        <c:spPr>
          <a:noFill/>
          <a:ln w="12700" cap="flat" cmpd="sng" algn="ctr">
            <a:solidFill>
              <a:schemeClr val="tx1">
                <a:lumMod val="15000"/>
                <a:lumOff val="85000"/>
              </a:schemeClr>
            </a:solidFill>
            <a:round/>
          </a:ln>
          <a:effectLst/>
        </c:spPr>
        <c:txPr>
          <a:bodyPr rot="-5400000" spcFirstLastPara="1" vertOverflow="ellipsis"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317412256"/>
        <c:crosses val="autoZero"/>
        <c:auto val="1"/>
        <c:lblAlgn val="ctr"/>
        <c:lblOffset val="100"/>
        <c:noMultiLvlLbl val="0"/>
      </c:catAx>
      <c:valAx>
        <c:axId val="317412256"/>
        <c:scaling>
          <c:orientation val="minMax"/>
        </c:scaling>
        <c:delete val="1"/>
        <c:axPos val="l"/>
        <c:numFmt formatCode="#,##0.0_ ;[Red]\-#,##0.0\ " sourceLinked="1"/>
        <c:majorTickMark val="none"/>
        <c:minorTickMark val="none"/>
        <c:tickLblPos val="nextTo"/>
        <c:crossAx val="596122768"/>
        <c:crosses val="autoZero"/>
        <c:crossBetween val="between"/>
      </c:valAx>
      <c:spPr>
        <a:gradFill>
          <a:gsLst>
            <a:gs pos="0">
              <a:schemeClr val="accent1">
                <a:lumMod val="5000"/>
                <a:lumOff val="95000"/>
              </a:schemeClr>
            </a:gs>
            <a:gs pos="56000">
              <a:schemeClr val="bg1">
                <a:lumMod val="95000"/>
              </a:schemeClr>
            </a:gs>
            <a:gs pos="100000">
              <a:schemeClr val="bg1"/>
            </a:gs>
          </a:gsLst>
          <a:lin ang="5400000" scaled="1"/>
        </a:gradFill>
        <a:ln>
          <a:noFill/>
        </a:ln>
        <a:effectLst/>
      </c:spPr>
    </c:plotArea>
    <c:plotVisOnly val="1"/>
    <c:dispBlanksAs val="gap"/>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es-GT"/>
    </a:p>
  </c:txPr>
  <c:externalData r:id="rId4">
    <c:autoUpdate val="0"/>
  </c:externalData>
  <c:userShapes r:id="rId5"/>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Times New Roman" panose="02020603050405020304" pitchFamily="18" charset="0"/>
                <a:ea typeface="+mj-ea"/>
                <a:cs typeface="Times New Roman" panose="02020603050405020304" pitchFamily="18" charset="0"/>
              </a:defRPr>
            </a:pPr>
            <a:r>
              <a:rPr lang="en-US" sz="1200" b="1" i="0" baseline="0">
                <a:solidFill>
                  <a:sysClr val="windowText" lastClr="000000"/>
                </a:solidFill>
                <a:effectLst/>
              </a:rPr>
              <a:t>Inversión bruta en activos no financieros</a:t>
            </a:r>
            <a:endParaRPr lang="es-GT" sz="1200">
              <a:solidFill>
                <a:sysClr val="windowText" lastClr="000000"/>
              </a:solidFill>
              <a:effectLst/>
            </a:endParaRPr>
          </a:p>
          <a:p>
            <a:pPr>
              <a:defRPr/>
            </a:pPr>
            <a:r>
              <a:rPr lang="en-US" sz="1100" b="1" i="0" baseline="0">
                <a:solidFill>
                  <a:sysClr val="windowText" lastClr="000000"/>
                </a:solidFill>
                <a:effectLst/>
              </a:rPr>
              <a:t>Cifra acumulada a junio de cada año</a:t>
            </a:r>
            <a:endParaRPr lang="es-GT" sz="1100">
              <a:solidFill>
                <a:sysClr val="windowText" lastClr="000000"/>
              </a:solidFill>
              <a:effectLst/>
            </a:endParaRPr>
          </a:p>
          <a:p>
            <a:pPr>
              <a:defRPr/>
            </a:pPr>
            <a:r>
              <a:rPr lang="en-US" sz="1000" b="0" i="0" baseline="0">
                <a:solidFill>
                  <a:sysClr val="windowText" lastClr="000000"/>
                </a:solidFill>
                <a:effectLst/>
              </a:rPr>
              <a:t>En millones de Quetzales</a:t>
            </a:r>
            <a:endParaRPr lang="es-GT" sz="1000">
              <a:solidFill>
                <a:sysClr val="windowText" lastClr="000000"/>
              </a:solidFill>
              <a:effectLst/>
            </a:endParaRPr>
          </a:p>
        </c:rich>
      </c:tx>
      <c:layout>
        <c:manualLayout>
          <c:xMode val="edge"/>
          <c:yMode val="edge"/>
          <c:x val="0.24667278760405448"/>
          <c:y val="0"/>
        </c:manualLayout>
      </c:layout>
      <c:overlay val="0"/>
      <c:spPr>
        <a:noFill/>
        <a:ln>
          <a:noFill/>
        </a:ln>
        <a:effectLst/>
      </c:spPr>
      <c:txPr>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Times New Roman" panose="02020603050405020304" pitchFamily="18" charset="0"/>
              <a:ea typeface="+mj-ea"/>
              <a:cs typeface="Times New Roman" panose="02020603050405020304" pitchFamily="18" charset="0"/>
            </a:defRPr>
          </a:pPr>
          <a:endParaRPr lang="es-GT"/>
        </a:p>
      </c:txPr>
    </c:title>
    <c:autoTitleDeleted val="0"/>
    <c:plotArea>
      <c:layout>
        <c:manualLayout>
          <c:layoutTarget val="inner"/>
          <c:xMode val="edge"/>
          <c:yMode val="edge"/>
          <c:x val="0"/>
          <c:y val="0.31652618991224768"/>
          <c:w val="1"/>
          <c:h val="0.44193736604641215"/>
        </c:manualLayout>
      </c:layout>
      <c:barChart>
        <c:barDir val="col"/>
        <c:grouping val="clustered"/>
        <c:varyColors val="0"/>
        <c:ser>
          <c:idx val="0"/>
          <c:order val="0"/>
          <c:tx>
            <c:strRef>
              <c:f>Hoja1!$A$2</c:f>
              <c:strCache>
                <c:ptCount val="1"/>
                <c:pt idx="0">
                  <c:v>Inversión neta/bruta en activos no financieros </c:v>
                </c:pt>
              </c:strCache>
            </c:strRef>
          </c:tx>
          <c:spPr>
            <a:solidFill>
              <a:schemeClr val="accent3">
                <a:lumMod val="60000"/>
                <a:lumOff val="40000"/>
              </a:schemeClr>
            </a:solidFill>
            <a:ln>
              <a:solidFill>
                <a:sysClr val="windowText" lastClr="000000"/>
              </a:solidFill>
            </a:ln>
            <a:effectLst>
              <a:outerShdw blurRad="50800" dist="38100" dir="18900000" algn="bl" rotWithShape="0">
                <a:prstClr val="black">
                  <a:alpha val="40000"/>
                </a:prst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3">
                        <a:lumMod val="50000"/>
                      </a:schemeClr>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Hoja1!$B$1:$F$1</c:f>
              <c:strCache>
                <c:ptCount val="5"/>
                <c:pt idx="0">
                  <c:v>2021*</c:v>
                </c:pt>
                <c:pt idx="1">
                  <c:v>2020</c:v>
                </c:pt>
                <c:pt idx="2">
                  <c:v>2019</c:v>
                </c:pt>
                <c:pt idx="3">
                  <c:v>2018</c:v>
                </c:pt>
                <c:pt idx="4">
                  <c:v>2017</c:v>
                </c:pt>
              </c:strCache>
            </c:strRef>
          </c:cat>
          <c:val>
            <c:numRef>
              <c:f>Hoja1!$B$2:$F$2</c:f>
              <c:numCache>
                <c:formatCode>#,##0.0_ ;[Red]\-#,##0.0\ </c:formatCode>
                <c:ptCount val="5"/>
                <c:pt idx="0">
                  <c:v>1430.6635600900001</c:v>
                </c:pt>
                <c:pt idx="1">
                  <c:v>1347.6265907699999</c:v>
                </c:pt>
                <c:pt idx="2">
                  <c:v>2053.41872044</c:v>
                </c:pt>
                <c:pt idx="3">
                  <c:v>984.92930913000009</c:v>
                </c:pt>
                <c:pt idx="4">
                  <c:v>325.44450102000002</c:v>
                </c:pt>
              </c:numCache>
            </c:numRef>
          </c:val>
          <c:extLst>
            <c:ext xmlns:c16="http://schemas.microsoft.com/office/drawing/2014/chart" uri="{C3380CC4-5D6E-409C-BE32-E72D297353CC}">
              <c16:uniqueId val="{00000000-DA71-44C7-96E0-50CBD3BBB971}"/>
            </c:ext>
          </c:extLst>
        </c:ser>
        <c:dLbls>
          <c:showLegendKey val="0"/>
          <c:showVal val="0"/>
          <c:showCatName val="0"/>
          <c:showSerName val="0"/>
          <c:showPercent val="0"/>
          <c:showBubbleSize val="0"/>
        </c:dLbls>
        <c:gapWidth val="267"/>
        <c:overlap val="-43"/>
        <c:axId val="1557017296"/>
        <c:axId val="470887616"/>
      </c:barChart>
      <c:catAx>
        <c:axId val="1557017296"/>
        <c:scaling>
          <c:orientation val="maxMin"/>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1" i="0" u="none" strike="noStrike" kern="1200" cap="none" spc="0" normalizeH="0" baseline="0">
                <a:solidFill>
                  <a:schemeClr val="tx1"/>
                </a:solidFill>
                <a:latin typeface="Times New Roman" panose="02020603050405020304" pitchFamily="18" charset="0"/>
                <a:ea typeface="+mn-ea"/>
                <a:cs typeface="Times New Roman" panose="02020603050405020304" pitchFamily="18" charset="0"/>
              </a:defRPr>
            </a:pPr>
            <a:endParaRPr lang="es-GT"/>
          </a:p>
        </c:txPr>
        <c:crossAx val="470887616"/>
        <c:crosses val="autoZero"/>
        <c:auto val="1"/>
        <c:lblAlgn val="ctr"/>
        <c:lblOffset val="100"/>
        <c:noMultiLvlLbl val="0"/>
      </c:catAx>
      <c:valAx>
        <c:axId val="470887616"/>
        <c:scaling>
          <c:orientation val="minMax"/>
        </c:scaling>
        <c:delete val="1"/>
        <c:axPos val="r"/>
        <c:majorGridlines>
          <c:spPr>
            <a:ln w="9525" cap="flat" cmpd="sng" algn="ctr">
              <a:solidFill>
                <a:schemeClr val="dk1">
                  <a:lumMod val="15000"/>
                  <a:lumOff val="85000"/>
                </a:schemeClr>
              </a:solidFill>
              <a:round/>
            </a:ln>
            <a:effectLst/>
          </c:spPr>
        </c:majorGridlines>
        <c:numFmt formatCode="#,##0.0_ ;[Red]\-#,##0.0\ " sourceLinked="1"/>
        <c:majorTickMark val="none"/>
        <c:minorTickMark val="none"/>
        <c:tickLblPos val="nextTo"/>
        <c:crossAx val="1557017296"/>
        <c:crosses val="autoZero"/>
        <c:crossBetween val="between"/>
      </c:valAx>
      <c:spPr>
        <a:pattFill prst="ltDnDiag">
          <a:fgClr>
            <a:schemeClr val="dk1">
              <a:lumMod val="15000"/>
              <a:lumOff val="85000"/>
            </a:schemeClr>
          </a:fgClr>
          <a:bgClr>
            <a:schemeClr val="lt1"/>
          </a:bgClr>
        </a:pattFill>
        <a:ln>
          <a:noFill/>
        </a:ln>
        <a:effectLst/>
      </c:spPr>
    </c:plotArea>
    <c:plotVisOnly val="1"/>
    <c:dispBlanksAs val="gap"/>
    <c:showDLblsOverMax val="0"/>
    <c:extLst/>
  </c:chart>
  <c:spPr>
    <a:solidFill>
      <a:schemeClr val="lt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es-GT"/>
    </a:p>
  </c:txPr>
  <c:externalData r:id="rId4">
    <c:autoUpdate val="0"/>
  </c:externalData>
  <c:userShapes r:id="rId5"/>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900" b="1" i="0" u="none" strike="noStrike" kern="1200" cap="none" spc="0" normalizeH="0" baseline="0">
                <a:solidFill>
                  <a:schemeClr val="tx1"/>
                </a:solidFill>
                <a:latin typeface="Times New Roman" panose="02020603050405020304" pitchFamily="18" charset="0"/>
                <a:ea typeface="+mj-ea"/>
                <a:cs typeface="Times New Roman" panose="02020603050405020304" pitchFamily="18" charset="0"/>
              </a:defRPr>
            </a:pPr>
            <a:r>
              <a:rPr lang="es-GT"/>
              <a:t>Flujo</a:t>
            </a:r>
            <a:r>
              <a:rPr lang="es-GT" baseline="0"/>
              <a:t> mensual </a:t>
            </a:r>
          </a:p>
        </c:rich>
      </c:tx>
      <c:layout>
        <c:manualLayout>
          <c:xMode val="edge"/>
          <c:yMode val="edge"/>
          <c:x val="0.381879044856059"/>
          <c:y val="3.6825518900942419E-3"/>
        </c:manualLayout>
      </c:layout>
      <c:overlay val="0"/>
      <c:spPr>
        <a:noFill/>
        <a:ln>
          <a:noFill/>
        </a:ln>
        <a:effectLst/>
      </c:spPr>
      <c:txPr>
        <a:bodyPr rot="0" spcFirstLastPara="1" vertOverflow="ellipsis" vert="horz" wrap="square" anchor="ctr" anchorCtr="1"/>
        <a:lstStyle/>
        <a:p>
          <a:pPr algn="ctr">
            <a:defRPr sz="900" b="1" i="0" u="none" strike="noStrike" kern="1200" cap="none" spc="0" normalizeH="0" baseline="0">
              <a:solidFill>
                <a:schemeClr val="tx1"/>
              </a:solidFill>
              <a:latin typeface="Times New Roman" panose="02020603050405020304" pitchFamily="18" charset="0"/>
              <a:ea typeface="+mj-ea"/>
              <a:cs typeface="Times New Roman" panose="02020603050405020304" pitchFamily="18" charset="0"/>
            </a:defRPr>
          </a:pPr>
          <a:endParaRPr lang="es-GT"/>
        </a:p>
      </c:txPr>
    </c:title>
    <c:autoTitleDeleted val="0"/>
    <c:plotArea>
      <c:layout>
        <c:manualLayout>
          <c:layoutTarget val="inner"/>
          <c:xMode val="edge"/>
          <c:yMode val="edge"/>
          <c:x val="0"/>
          <c:y val="0.11685116851168512"/>
          <c:w val="1"/>
          <c:h val="0.59446685913593111"/>
        </c:manualLayout>
      </c:layout>
      <c:barChart>
        <c:barDir val="col"/>
        <c:grouping val="clustered"/>
        <c:varyColors val="0"/>
        <c:ser>
          <c:idx val="0"/>
          <c:order val="0"/>
          <c:tx>
            <c:strRef>
              <c:f>Hoja1!$A$2</c:f>
              <c:strCache>
                <c:ptCount val="1"/>
                <c:pt idx="0">
                  <c:v>Adquicición neta de activos financieros</c:v>
                </c:pt>
              </c:strCache>
            </c:strRef>
          </c:tx>
          <c:spPr>
            <a:solidFill>
              <a:srgbClr val="9BBB59"/>
            </a:solidFill>
            <a:ln>
              <a:solidFill>
                <a:schemeClr val="tx1"/>
              </a:solidFill>
            </a:ln>
            <a:effectLst>
              <a:outerShdw blurRad="50800" dist="38100" dir="18900000" algn="bl" rotWithShape="0">
                <a:prstClr val="black">
                  <a:alpha val="40000"/>
                </a:prstClr>
              </a:outerShdw>
            </a:effectLst>
          </c:spPr>
          <c:invertIfNegative val="1"/>
          <c:dPt>
            <c:idx val="3"/>
            <c:invertIfNegative val="1"/>
            <c:bubble3D val="0"/>
            <c:spPr>
              <a:solidFill>
                <a:schemeClr val="accent3"/>
              </a:solidFill>
              <a:ln>
                <a:solidFill>
                  <a:schemeClr val="tx1"/>
                </a:solidFill>
              </a:ln>
              <a:effectLst>
                <a:outerShdw blurRad="50800" dist="38100" dir="18900000" algn="bl" rotWithShape="0">
                  <a:prstClr val="black">
                    <a:alpha val="40000"/>
                  </a:prstClr>
                </a:outerShdw>
              </a:effectLst>
            </c:spPr>
            <c:extLst>
              <c:ext xmlns:c16="http://schemas.microsoft.com/office/drawing/2014/chart" uri="{C3380CC4-5D6E-409C-BE32-E72D297353CC}">
                <c16:uniqueId val="{00000001-2F5A-4516-A758-482FB4948230}"/>
              </c:ext>
            </c:extLst>
          </c:dPt>
          <c:dPt>
            <c:idx val="6"/>
            <c:invertIfNegative val="1"/>
            <c:bubble3D val="0"/>
            <c:spPr>
              <a:solidFill>
                <a:srgbClr val="002060"/>
              </a:solidFill>
              <a:ln>
                <a:solidFill>
                  <a:schemeClr val="tx1"/>
                </a:solidFill>
              </a:ln>
              <a:effectLst>
                <a:outerShdw blurRad="50800" dist="38100" dir="18900000" algn="bl" rotWithShape="0">
                  <a:prstClr val="black">
                    <a:alpha val="40000"/>
                  </a:prstClr>
                </a:outerShdw>
              </a:effectLst>
            </c:spPr>
            <c:extLst>
              <c:ext xmlns:c16="http://schemas.microsoft.com/office/drawing/2014/chart" uri="{C3380CC4-5D6E-409C-BE32-E72D297353CC}">
                <c16:uniqueId val="{00000008-F785-4700-B38B-76B949A323CB}"/>
              </c:ext>
            </c:extLst>
          </c:dPt>
          <c:dPt>
            <c:idx val="9"/>
            <c:invertIfNegative val="0"/>
            <c:bubble3D val="0"/>
            <c:spPr>
              <a:solidFill>
                <a:schemeClr val="accent3"/>
              </a:solidFill>
              <a:ln>
                <a:solidFill>
                  <a:schemeClr val="tx1"/>
                </a:solidFill>
              </a:ln>
              <a:effectLst>
                <a:outerShdw blurRad="50800" dist="38100" dir="18900000" algn="bl" rotWithShape="0">
                  <a:prstClr val="black">
                    <a:alpha val="40000"/>
                  </a:prstClr>
                </a:outerShdw>
              </a:effectLst>
            </c:spPr>
            <c:extLst>
              <c:ext xmlns:c16="http://schemas.microsoft.com/office/drawing/2014/chart" uri="{C3380CC4-5D6E-409C-BE32-E72D297353CC}">
                <c16:uniqueId val="{0000000A-7D05-40F5-B5EB-0F479E5F8AF4}"/>
              </c:ext>
            </c:extLst>
          </c:dPt>
          <c:dLbls>
            <c:dLbl>
              <c:idx val="0"/>
              <c:layout>
                <c:manualLayout>
                  <c:x val="0"/>
                  <c:y val="1.526135062953071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F5A-4516-A758-482FB4948230}"/>
                </c:ext>
              </c:extLst>
            </c:dLbl>
            <c:dLbl>
              <c:idx val="1"/>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F5A-4516-A758-482FB4948230}"/>
                </c:ext>
              </c:extLst>
            </c:dLbl>
            <c:dLbl>
              <c:idx val="2"/>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F5A-4516-A758-482FB4948230}"/>
                </c:ext>
              </c:extLst>
            </c:dLbl>
            <c:dLbl>
              <c:idx val="3"/>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F5A-4516-A758-482FB4948230}"/>
                </c:ext>
              </c:extLst>
            </c:dLbl>
            <c:dLbl>
              <c:idx val="4"/>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F785-4700-B38B-76B949A323CB}"/>
                </c:ext>
              </c:extLst>
            </c:dLbl>
            <c:dLbl>
              <c:idx val="5"/>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F785-4700-B38B-76B949A323CB}"/>
                </c:ext>
              </c:extLst>
            </c:dLbl>
            <c:dLbl>
              <c:idx val="6"/>
              <c:numFmt formatCode="#,##0.0_ ;[Red]\-#,##0.0\ " sourceLinked="0"/>
              <c:spPr>
                <a:noFill/>
                <a:ln>
                  <a:noFill/>
                </a:ln>
                <a:effectLst/>
              </c:spPr>
              <c:txPr>
                <a:bodyPr rot="0" spcFirstLastPara="1" vertOverflow="ellipsis" vert="horz" wrap="square" anchor="ctr" anchorCtr="1"/>
                <a:lstStyle/>
                <a:p>
                  <a:pPr>
                    <a:defRPr sz="8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F785-4700-B38B-76B949A323CB}"/>
                </c:ext>
              </c:extLst>
            </c:dLbl>
            <c:dLbl>
              <c:idx val="7"/>
              <c:layout>
                <c:manualLayout>
                  <c:x val="0"/>
                  <c:y val="1.845018450184501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7D05-40F5-B5EB-0F479E5F8AF4}"/>
                </c:ext>
              </c:extLst>
            </c:dLbl>
            <c:dLbl>
              <c:idx val="8"/>
              <c:layout>
                <c:manualLayout>
                  <c:x val="0"/>
                  <c:y val="-3.052270125906142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7D05-40F5-B5EB-0F479E5F8AF4}"/>
                </c:ext>
              </c:extLst>
            </c:dLbl>
            <c:dLbl>
              <c:idx val="9"/>
              <c:layout>
                <c:manualLayout>
                  <c:x val="-1.6365205576923713E-16"/>
                  <c:y val="-2.460024600246002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7D05-40F5-B5EB-0F479E5F8AF4}"/>
                </c:ext>
              </c:extLst>
            </c:dLbl>
            <c:dLbl>
              <c:idx val="10"/>
              <c:layout>
                <c:manualLayout>
                  <c:x val="0"/>
                  <c:y val="1.526135062953071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FD50-4E40-8B03-F23CCCAC8D6F}"/>
                </c:ext>
              </c:extLst>
            </c:dLbl>
            <c:dLbl>
              <c:idx val="12"/>
              <c:layout>
                <c:manualLayout>
                  <c:x val="-1.6365205576923713E-16"/>
                  <c:y val="-3.815337657382678E-2"/>
                </c:manualLayout>
              </c:layout>
              <c:numFmt formatCode="#,##0.0_ ;[Red]\-#,##0.0\ " sourceLinked="0"/>
              <c:spPr>
                <a:noFill/>
                <a:ln>
                  <a:noFill/>
                </a:ln>
                <a:effectLst/>
              </c:spPr>
              <c:txPr>
                <a:bodyPr rot="0" spcFirstLastPara="1" vertOverflow="ellipsis" vert="horz" wrap="square" anchor="ctr" anchorCtr="1"/>
                <a:lstStyle/>
                <a:p>
                  <a:pPr>
                    <a:defRPr sz="8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GT"/>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FD50-4E40-8B03-F23CCCAC8D6F}"/>
                </c:ext>
              </c:extLst>
            </c:dLbl>
            <c:numFmt formatCode="#,##0.0_ ;[Red]\-#,##0.0\ " sourceLinked="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G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Hoja1!$B$1:$H$1</c:f>
              <c:strCache>
                <c:ptCount val="7"/>
                <c:pt idx="0">
                  <c:v>Enero</c:v>
                </c:pt>
                <c:pt idx="1">
                  <c:v>Febrero</c:v>
                </c:pt>
                <c:pt idx="2">
                  <c:v>Marzo</c:v>
                </c:pt>
                <c:pt idx="3">
                  <c:v>Abril</c:v>
                </c:pt>
                <c:pt idx="4">
                  <c:v>Mayo</c:v>
                </c:pt>
                <c:pt idx="5">
                  <c:v>Junio</c:v>
                </c:pt>
                <c:pt idx="6">
                  <c:v>Total</c:v>
                </c:pt>
              </c:strCache>
            </c:strRef>
          </c:cat>
          <c:val>
            <c:numRef>
              <c:f>Hoja1!$B$2:$H$2</c:f>
              <c:numCache>
                <c:formatCode>#,##0.00</c:formatCode>
                <c:ptCount val="7"/>
                <c:pt idx="0">
                  <c:v>-278.25034382999996</c:v>
                </c:pt>
                <c:pt idx="1">
                  <c:v>-11.435125739999998</c:v>
                </c:pt>
                <c:pt idx="2">
                  <c:v>4951.5150239799996</c:v>
                </c:pt>
                <c:pt idx="3" formatCode="_(* #,##0.00_);_(* \(#,##0.00\);_(* &quot;-&quot;??_);_(@_)">
                  <c:v>1629.32626605</c:v>
                </c:pt>
                <c:pt idx="4">
                  <c:v>1631.82687951</c:v>
                </c:pt>
                <c:pt idx="5">
                  <c:v>2783.6598428899997</c:v>
                </c:pt>
                <c:pt idx="6">
                  <c:v>10706.642542859998</c:v>
                </c:pt>
              </c:numCache>
            </c:numRef>
          </c:val>
          <c:extLst>
            <c:ext xmlns:c14="http://schemas.microsoft.com/office/drawing/2007/8/2/chart" uri="{6F2FDCE9-48DA-4B69-8628-5D25D57E5C99}">
              <c14:invertSolidFillFmt>
                <c14:spPr xmlns:c14="http://schemas.microsoft.com/office/drawing/2007/8/2/chart">
                  <a:solidFill>
                    <a:srgbClr val="C00000"/>
                  </a:solidFill>
                  <a:ln>
                    <a:solidFill>
                      <a:schemeClr val="tx1"/>
                    </a:solidFill>
                  </a:ln>
                  <a:effectLst>
                    <a:outerShdw blurRad="50800" dist="38100" dir="18900000" algn="bl" rotWithShape="0">
                      <a:prstClr val="black">
                        <a:alpha val="40000"/>
                      </a:prstClr>
                    </a:outerShdw>
                  </a:effectLst>
                </c14:spPr>
              </c14:invertSolidFillFmt>
            </c:ext>
            <c:ext xmlns:c16="http://schemas.microsoft.com/office/drawing/2014/chart" uri="{C3380CC4-5D6E-409C-BE32-E72D297353CC}">
              <c16:uniqueId val="{00000005-2F5A-4516-A758-482FB4948230}"/>
            </c:ext>
          </c:extLst>
        </c:ser>
        <c:dLbls>
          <c:dLblPos val="inEnd"/>
          <c:showLegendKey val="0"/>
          <c:showVal val="1"/>
          <c:showCatName val="0"/>
          <c:showSerName val="0"/>
          <c:showPercent val="0"/>
          <c:showBubbleSize val="0"/>
        </c:dLbls>
        <c:gapWidth val="83"/>
        <c:overlap val="7"/>
        <c:axId val="152970912"/>
        <c:axId val="152969984"/>
      </c:barChart>
      <c:catAx>
        <c:axId val="152970912"/>
        <c:scaling>
          <c:orientation val="minMax"/>
        </c:scaling>
        <c:delete val="0"/>
        <c:axPos val="b"/>
        <c:majorGridlines>
          <c:spPr>
            <a:ln w="9525" cap="flat" cmpd="sng" algn="ctr">
              <a:solidFill>
                <a:schemeClr val="dk1">
                  <a:lumMod val="15000"/>
                  <a:lumOff val="85000"/>
                </a:schemeClr>
              </a:solidFill>
              <a:round/>
            </a:ln>
            <a:effectLst/>
          </c:spPr>
        </c:majorGridlines>
        <c:minorGridlines>
          <c:spPr>
            <a:ln w="9525" cap="flat" cmpd="sng" algn="ctr">
              <a:solidFill>
                <a:schemeClr val="dk1">
                  <a:lumMod val="5000"/>
                  <a:lumOff val="95000"/>
                </a:schemeClr>
              </a:solidFill>
              <a:round/>
            </a:ln>
            <a:effectLst/>
          </c:spPr>
        </c:minorGridlines>
        <c:numFmt formatCode="General" sourceLinked="1"/>
        <c:majorTickMark val="none"/>
        <c:minorTickMark val="none"/>
        <c:tickLblPos val="low"/>
        <c:spPr>
          <a:noFill/>
          <a:ln w="9525" cap="flat" cmpd="sng" algn="ctr">
            <a:solidFill>
              <a:schemeClr val="dk1">
                <a:lumMod val="15000"/>
                <a:lumOff val="85000"/>
              </a:schemeClr>
            </a:solidFill>
            <a:round/>
          </a:ln>
          <a:effectLst/>
        </c:spPr>
        <c:txPr>
          <a:bodyPr rot="-5400000" spcFirstLastPara="1" vertOverflow="ellipsis" wrap="square" anchor="ctr" anchorCtr="1"/>
          <a:lstStyle/>
          <a:p>
            <a:pPr>
              <a:defRPr sz="900" b="1" i="0" u="none" strike="noStrike" kern="1200" cap="none" spc="0" normalizeH="0" baseline="0">
                <a:solidFill>
                  <a:schemeClr val="tx1"/>
                </a:solidFill>
                <a:latin typeface="Times New Roman" panose="02020603050405020304" pitchFamily="18" charset="0"/>
                <a:ea typeface="+mn-ea"/>
                <a:cs typeface="Times New Roman" panose="02020603050405020304" pitchFamily="18" charset="0"/>
              </a:defRPr>
            </a:pPr>
            <a:endParaRPr lang="es-GT"/>
          </a:p>
        </c:txPr>
        <c:crossAx val="152969984"/>
        <c:crosses val="autoZero"/>
        <c:auto val="1"/>
        <c:lblAlgn val="ctr"/>
        <c:lblOffset val="100"/>
        <c:noMultiLvlLbl val="0"/>
      </c:catAx>
      <c:valAx>
        <c:axId val="152969984"/>
        <c:scaling>
          <c:orientation val="minMax"/>
        </c:scaling>
        <c:delete val="1"/>
        <c:axPos val="l"/>
        <c:numFmt formatCode="#,##0_ ;[Red]\-#,##0\ " sourceLinked="0"/>
        <c:majorTickMark val="none"/>
        <c:minorTickMark val="none"/>
        <c:tickLblPos val="nextTo"/>
        <c:crossAx val="152970912"/>
        <c:crosses val="autoZero"/>
        <c:crossBetween val="between"/>
      </c:valAx>
      <c:spPr>
        <a:pattFill prst="ltDnDiag">
          <a:fgClr>
            <a:srgbClr val="000000">
              <a:alpha val="0"/>
            </a:srgbClr>
          </a:fgClr>
          <a:bgClr>
            <a:srgbClr val="FFFFFF"/>
          </a:bgClr>
        </a:pattFill>
        <a:ln w="25400">
          <a:noFill/>
        </a:ln>
        <a:effectLst/>
      </c:spPr>
    </c:plotArea>
    <c:plotVisOnly val="1"/>
    <c:dispBlanksAs val="gap"/>
    <c:showDLblsOverMax val="0"/>
    <c:extLst/>
  </c:chart>
  <c:spPr>
    <a:solidFill>
      <a:schemeClr val="lt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es-GT"/>
    </a:p>
  </c:txPr>
  <c:externalData r:id="rId3">
    <c:autoUpdate val="0"/>
  </c:externalData>
  <c:userShapes r:id="rId4"/>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7"/>
    </mc:Choice>
    <mc:Fallback>
      <c:style val="7"/>
    </mc:Fallback>
  </mc:AlternateContent>
  <c:chart>
    <c:title>
      <c:tx>
        <c:rich>
          <a:bodyPr rot="0" spcFirstLastPara="1" vertOverflow="ellipsis" vert="horz" wrap="square" anchor="ctr" anchorCtr="1"/>
          <a:lstStyle/>
          <a:p>
            <a:pPr>
              <a:defRPr sz="2000" b="1" i="0" u="none" strike="noStrike" kern="1200" cap="none" spc="0" normalizeH="0" baseline="0">
                <a:solidFill>
                  <a:schemeClr val="tx1"/>
                </a:solidFill>
                <a:latin typeface="Times New Roman" panose="02020603050405020304" pitchFamily="18" charset="0"/>
                <a:ea typeface="+mj-ea"/>
                <a:cs typeface="Times New Roman" panose="02020603050405020304" pitchFamily="18" charset="0"/>
              </a:defRPr>
            </a:pPr>
            <a:r>
              <a:rPr lang="es-GT" sz="1000"/>
              <a:t>Composición</a:t>
            </a:r>
            <a:r>
              <a:rPr lang="es-GT" sz="1000" baseline="0"/>
              <a:t> del flujo </a:t>
            </a:r>
          </a:p>
          <a:p>
            <a:pPr>
              <a:defRPr b="1">
                <a:solidFill>
                  <a:schemeClr val="tx1"/>
                </a:solidFill>
              </a:defRPr>
            </a:pPr>
            <a:r>
              <a:rPr lang="es-GT" sz="1000" baseline="0"/>
              <a:t>acumulado a junio</a:t>
            </a:r>
            <a:endParaRPr lang="es-GT" sz="1000"/>
          </a:p>
        </c:rich>
      </c:tx>
      <c:layout>
        <c:manualLayout>
          <c:xMode val="edge"/>
          <c:yMode val="edge"/>
          <c:x val="0.27845856497482702"/>
          <c:y val="0"/>
        </c:manualLayout>
      </c:layout>
      <c:overlay val="0"/>
      <c:spPr>
        <a:noFill/>
        <a:ln>
          <a:noFill/>
        </a:ln>
        <a:effectLst/>
      </c:spPr>
      <c:txPr>
        <a:bodyPr rot="0" spcFirstLastPara="1" vertOverflow="ellipsis" vert="horz" wrap="square" anchor="ctr" anchorCtr="1"/>
        <a:lstStyle/>
        <a:p>
          <a:pPr>
            <a:defRPr sz="2000" b="1" i="0" u="none" strike="noStrike" kern="1200" cap="none" spc="0" normalizeH="0" baseline="0">
              <a:solidFill>
                <a:schemeClr val="tx1"/>
              </a:solidFill>
              <a:latin typeface="Times New Roman" panose="02020603050405020304" pitchFamily="18" charset="0"/>
              <a:ea typeface="+mj-ea"/>
              <a:cs typeface="Times New Roman" panose="02020603050405020304" pitchFamily="18" charset="0"/>
            </a:defRPr>
          </a:pPr>
          <a:endParaRPr lang="es-GT"/>
        </a:p>
      </c:txPr>
    </c:title>
    <c:autoTitleDeleted val="0"/>
    <c:plotArea>
      <c:layout>
        <c:manualLayout>
          <c:layoutTarget val="inner"/>
          <c:xMode val="edge"/>
          <c:yMode val="edge"/>
          <c:x val="0.13775004063313276"/>
          <c:y val="0.27904009203471253"/>
          <c:w val="0.44852633908202411"/>
          <c:h val="0.6722044015836075"/>
        </c:manualLayout>
      </c:layout>
      <c:pieChart>
        <c:varyColors val="1"/>
        <c:ser>
          <c:idx val="0"/>
          <c:order val="0"/>
          <c:tx>
            <c:strRef>
              <c:f>Hoja1!$B$1</c:f>
              <c:strCache>
                <c:ptCount val="1"/>
                <c:pt idx="0">
                  <c:v>Junio</c:v>
                </c:pt>
              </c:strCache>
            </c:strRef>
          </c:tx>
          <c:spPr>
            <a:ln>
              <a:solidFill>
                <a:schemeClr val="tx1"/>
              </a:solidFill>
            </a:ln>
            <a:effectLst>
              <a:outerShdw blurRad="50800" dist="38100" dir="18900000" algn="bl" rotWithShape="0">
                <a:prstClr val="black">
                  <a:alpha val="40000"/>
                </a:prstClr>
              </a:outerShdw>
            </a:effectLst>
          </c:spPr>
          <c:dPt>
            <c:idx val="0"/>
            <c:bubble3D val="0"/>
            <c:spPr>
              <a:solidFill>
                <a:schemeClr val="accent5">
                  <a:lumMod val="75000"/>
                </a:schemeClr>
              </a:solidFill>
              <a:ln>
                <a:solidFill>
                  <a:schemeClr val="tx1"/>
                </a:solidFill>
              </a:ln>
              <a:effectLst>
                <a:outerShdw blurRad="50800" dist="38100" dir="18900000" algn="bl" rotWithShape="0">
                  <a:prstClr val="black">
                    <a:alpha val="40000"/>
                  </a:prstClr>
                </a:outerShdw>
              </a:effectLst>
            </c:spPr>
            <c:extLst>
              <c:ext xmlns:c16="http://schemas.microsoft.com/office/drawing/2014/chart" uri="{C3380CC4-5D6E-409C-BE32-E72D297353CC}">
                <c16:uniqueId val="{00000001-77F2-407C-BE81-289EFBC09B14}"/>
              </c:ext>
            </c:extLst>
          </c:dPt>
          <c:dPt>
            <c:idx val="1"/>
            <c:bubble3D val="0"/>
            <c:spPr>
              <a:solidFill>
                <a:schemeClr val="accent5">
                  <a:tint val="77000"/>
                </a:schemeClr>
              </a:solidFill>
              <a:ln>
                <a:solidFill>
                  <a:schemeClr val="tx1"/>
                </a:solidFill>
              </a:ln>
              <a:effectLst>
                <a:outerShdw blurRad="50800" dist="38100" dir="18900000" algn="bl" rotWithShape="0">
                  <a:prstClr val="black">
                    <a:alpha val="40000"/>
                  </a:prstClr>
                </a:outerShdw>
              </a:effectLst>
            </c:spPr>
            <c:extLst>
              <c:ext xmlns:c16="http://schemas.microsoft.com/office/drawing/2014/chart" uri="{C3380CC4-5D6E-409C-BE32-E72D297353CC}">
                <c16:uniqueId val="{00000003-77F2-407C-BE81-289EFBC09B14}"/>
              </c:ext>
            </c:extLst>
          </c:dPt>
          <c:dLbls>
            <c:dLbl>
              <c:idx val="0"/>
              <c:layout>
                <c:manualLayout>
                  <c:x val="0.52241151829641219"/>
                  <c:y val="-0.21233048993875769"/>
                </c:manualLayout>
              </c:layout>
              <c:dLblPos val="bestFit"/>
              <c:showLegendKey val="1"/>
              <c:showVal val="1"/>
              <c:showCatName val="1"/>
              <c:showSerName val="0"/>
              <c:showPercent val="1"/>
              <c:showBubbleSize val="0"/>
              <c:separator>
</c:separator>
              <c:extLst>
                <c:ext xmlns:c15="http://schemas.microsoft.com/office/drawing/2012/chart" uri="{CE6537A1-D6FC-4f65-9D91-7224C49458BB}">
                  <c15:layout>
                    <c:manualLayout>
                      <c:w val="0.35877854667287251"/>
                      <c:h val="0.36092094390978907"/>
                    </c:manualLayout>
                  </c15:layout>
                </c:ext>
                <c:ext xmlns:c16="http://schemas.microsoft.com/office/drawing/2014/chart" uri="{C3380CC4-5D6E-409C-BE32-E72D297353CC}">
                  <c16:uniqueId val="{00000001-77F2-407C-BE81-289EFBC09B14}"/>
                </c:ext>
              </c:extLst>
            </c:dLbl>
            <c:dLbl>
              <c:idx val="1"/>
              <c:layout>
                <c:manualLayout>
                  <c:x val="-1.9511364816574374E-2"/>
                  <c:y val="0.19145888013998236"/>
                </c:manualLayout>
              </c:layout>
              <c:dLblPos val="bestFit"/>
              <c:showLegendKey val="1"/>
              <c:showVal val="1"/>
              <c:showCatName val="1"/>
              <c:showSerName val="0"/>
              <c:showPercent val="1"/>
              <c:showBubbleSize val="0"/>
              <c:separator>
</c:separator>
              <c:extLst>
                <c:ext xmlns:c15="http://schemas.microsoft.com/office/drawing/2012/chart" uri="{CE6537A1-D6FC-4f65-9D91-7224C49458BB}">
                  <c15:layout>
                    <c:manualLayout>
                      <c:w val="0.24280087241171064"/>
                      <c:h val="0.30260219208710021"/>
                    </c:manualLayout>
                  </c15:layout>
                </c:ext>
                <c:ext xmlns:c16="http://schemas.microsoft.com/office/drawing/2014/chart" uri="{C3380CC4-5D6E-409C-BE32-E72D297353CC}">
                  <c16:uniqueId val="{00000003-77F2-407C-BE81-289EFBC09B14}"/>
                </c:ext>
              </c:extLst>
            </c:dLbl>
            <c:numFmt formatCode="0.0%" sourceLinked="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GT"/>
              </a:p>
            </c:txPr>
            <c:dLblPos val="bestFit"/>
            <c:showLegendKey val="1"/>
            <c:showVal val="1"/>
            <c:showCatName val="0"/>
            <c:showSerName val="0"/>
            <c:showPercent val="0"/>
            <c:showBubbleSize val="0"/>
            <c:showLeaderLines val="0"/>
            <c:extLst>
              <c:ext xmlns:c15="http://schemas.microsoft.com/office/drawing/2012/chart" uri="{CE6537A1-D6FC-4f65-9D91-7224C49458BB}"/>
            </c:extLst>
          </c:dLbls>
          <c:cat>
            <c:strRef>
              <c:f>Hoja1!$A$2:$A$3</c:f>
              <c:strCache>
                <c:ptCount val="2"/>
                <c:pt idx="0">
                  <c:v>Billetes, monedas y depósitos</c:v>
                </c:pt>
                <c:pt idx="1">
                  <c:v>Préstamos</c:v>
                </c:pt>
              </c:strCache>
            </c:strRef>
          </c:cat>
          <c:val>
            <c:numRef>
              <c:f>Hoja1!$B$2:$B$3</c:f>
              <c:numCache>
                <c:formatCode>"Q"#,##0.0</c:formatCode>
                <c:ptCount val="2"/>
                <c:pt idx="0">
                  <c:v>10705.095133749999</c:v>
                </c:pt>
                <c:pt idx="1">
                  <c:v>1.5474091099999998</c:v>
                </c:pt>
              </c:numCache>
            </c:numRef>
          </c:val>
          <c:extLst>
            <c:ext xmlns:c16="http://schemas.microsoft.com/office/drawing/2014/chart" uri="{C3380CC4-5D6E-409C-BE32-E72D297353CC}">
              <c16:uniqueId val="{00000004-77F2-407C-BE81-289EFBC09B14}"/>
            </c:ext>
          </c:extLst>
        </c:ser>
        <c:dLbls>
          <c:showLegendKey val="0"/>
          <c:showVal val="0"/>
          <c:showCatName val="0"/>
          <c:showSerName val="0"/>
          <c:showPercent val="0"/>
          <c:showBubbleSize val="0"/>
          <c:showLeaderLines val="0"/>
        </c:dLbls>
        <c:firstSliceAng val="90"/>
      </c:pieChart>
      <c:spPr>
        <a:noFill/>
        <a:ln>
          <a:noFill/>
        </a:ln>
        <a:effectLst/>
      </c:spPr>
    </c:plotArea>
    <c:plotVisOnly val="1"/>
    <c:dispBlanksAs val="gap"/>
    <c:showDLblsOverMax val="0"/>
    <c:extLst/>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es-GT"/>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l">
              <a:defRPr sz="900" b="1" i="0" u="none" strike="noStrike" kern="1200" cap="none" spc="0" normalizeH="0" baseline="0">
                <a:solidFill>
                  <a:schemeClr val="tx1"/>
                </a:solidFill>
                <a:latin typeface="Times New Roman" panose="02020603050405020304" pitchFamily="18" charset="0"/>
                <a:ea typeface="+mj-ea"/>
                <a:cs typeface="Times New Roman" panose="02020603050405020304" pitchFamily="18" charset="0"/>
              </a:defRPr>
            </a:pPr>
            <a:r>
              <a:rPr lang="en-US" sz="900" b="1" i="0">
                <a:solidFill>
                  <a:schemeClr val="tx1"/>
                </a:solidFill>
              </a:rPr>
              <a:t>Monto Mensual</a:t>
            </a:r>
          </a:p>
        </c:rich>
      </c:tx>
      <c:layout>
        <c:manualLayout>
          <c:xMode val="edge"/>
          <c:yMode val="edge"/>
          <c:x val="0.35417726104549435"/>
          <c:y val="9.8328416912487702E-3"/>
        </c:manualLayout>
      </c:layout>
      <c:overlay val="0"/>
      <c:spPr>
        <a:noFill/>
        <a:ln>
          <a:noFill/>
        </a:ln>
        <a:effectLst/>
      </c:spPr>
      <c:txPr>
        <a:bodyPr rot="0" spcFirstLastPara="1" vertOverflow="ellipsis" vert="horz" wrap="square" anchor="ctr" anchorCtr="1"/>
        <a:lstStyle/>
        <a:p>
          <a:pPr algn="l">
            <a:defRPr sz="900" b="1" i="0" u="none" strike="noStrike" kern="1200" cap="none" spc="0" normalizeH="0" baseline="0">
              <a:solidFill>
                <a:schemeClr val="tx1"/>
              </a:solidFill>
              <a:latin typeface="Times New Roman" panose="02020603050405020304" pitchFamily="18" charset="0"/>
              <a:ea typeface="+mj-ea"/>
              <a:cs typeface="Times New Roman" panose="02020603050405020304" pitchFamily="18" charset="0"/>
            </a:defRPr>
          </a:pPr>
          <a:endParaRPr lang="es-GT"/>
        </a:p>
      </c:txPr>
    </c:title>
    <c:autoTitleDeleted val="0"/>
    <c:plotArea>
      <c:layout>
        <c:manualLayout>
          <c:layoutTarget val="inner"/>
          <c:xMode val="edge"/>
          <c:yMode val="edge"/>
          <c:x val="0"/>
          <c:y val="0.11011569223138445"/>
          <c:w val="1"/>
          <c:h val="0.63267505735011476"/>
        </c:manualLayout>
      </c:layout>
      <c:barChart>
        <c:barDir val="col"/>
        <c:grouping val="clustered"/>
        <c:varyColors val="0"/>
        <c:ser>
          <c:idx val="0"/>
          <c:order val="0"/>
          <c:tx>
            <c:strRef>
              <c:f>Hoja1!$A$2</c:f>
              <c:strCache>
                <c:ptCount val="1"/>
                <c:pt idx="0">
                  <c:v>Categoría 1</c:v>
                </c:pt>
              </c:strCache>
            </c:strRef>
          </c:tx>
          <c:spPr>
            <a:noFill/>
            <a:ln>
              <a:noFill/>
            </a:ln>
            <a:effectLst/>
          </c:spPr>
          <c:invertIfNegative val="0"/>
          <c:dPt>
            <c:idx val="3"/>
            <c:invertIfNegative val="0"/>
            <c:bubble3D val="0"/>
            <c:spPr>
              <a:noFill/>
              <a:ln>
                <a:noFill/>
              </a:ln>
              <a:effectLst/>
            </c:spPr>
            <c:extLst>
              <c:ext xmlns:c16="http://schemas.microsoft.com/office/drawing/2014/chart" uri="{C3380CC4-5D6E-409C-BE32-E72D297353CC}">
                <c16:uniqueId val="{00000001-2F5A-4516-A758-482FB4948230}"/>
              </c:ext>
            </c:extLst>
          </c:dPt>
          <c:dPt>
            <c:idx val="6"/>
            <c:invertIfNegative val="0"/>
            <c:bubble3D val="0"/>
            <c:spPr>
              <a:solidFill>
                <a:srgbClr val="002060"/>
              </a:solidFill>
              <a:ln w="19050">
                <a:solidFill>
                  <a:schemeClr val="tx1"/>
                </a:solidFill>
              </a:ln>
              <a:effectLst>
                <a:outerShdw blurRad="50800" dist="38100" dir="18900000" algn="bl" rotWithShape="0">
                  <a:prstClr val="black">
                    <a:alpha val="40000"/>
                  </a:prstClr>
                </a:outerShdw>
              </a:effectLst>
            </c:spPr>
            <c:extLst>
              <c:ext xmlns:c16="http://schemas.microsoft.com/office/drawing/2014/chart" uri="{C3380CC4-5D6E-409C-BE32-E72D297353CC}">
                <c16:uniqueId val="{00000008-F785-4700-B38B-76B949A323CB}"/>
              </c:ext>
            </c:extLst>
          </c:dPt>
          <c:dPt>
            <c:idx val="9"/>
            <c:invertIfNegative val="0"/>
            <c:bubble3D val="0"/>
            <c:spPr>
              <a:noFill/>
              <a:ln>
                <a:noFill/>
              </a:ln>
              <a:effectLst/>
            </c:spPr>
            <c:extLst>
              <c:ext xmlns:c16="http://schemas.microsoft.com/office/drawing/2014/chart" uri="{C3380CC4-5D6E-409C-BE32-E72D297353CC}">
                <c16:uniqueId val="{0000000A-7D05-40F5-B5EB-0F479E5F8AF4}"/>
              </c:ext>
            </c:extLst>
          </c:dPt>
          <c:dPt>
            <c:idx val="12"/>
            <c:invertIfNegative val="0"/>
            <c:bubble3D val="0"/>
            <c:spPr>
              <a:noFill/>
              <a:ln>
                <a:noFill/>
              </a:ln>
              <a:effectLst/>
            </c:spPr>
            <c:extLst>
              <c:ext xmlns:c16="http://schemas.microsoft.com/office/drawing/2014/chart" uri="{C3380CC4-5D6E-409C-BE32-E72D297353CC}">
                <c16:uniqueId val="{0000000E-4B4C-4485-8C79-904533380089}"/>
              </c:ext>
            </c:extLst>
          </c:dPt>
          <c:dLbls>
            <c:dLbl>
              <c:idx val="6"/>
              <c:layout>
                <c:manualLayout>
                  <c:x val="-1.3815464617595169E-16"/>
                  <c:y val="-1.672416144832291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F785-4700-B38B-76B949A323CB}"/>
                </c:ext>
              </c:extLst>
            </c:dLbl>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s-GT"/>
              </a:p>
            </c:txPr>
            <c:dLblPos val="inEnd"/>
            <c:showLegendKey val="0"/>
            <c:showVal val="0"/>
            <c:showCatName val="0"/>
            <c:showSerName val="0"/>
            <c:showPercent val="0"/>
            <c:showBubbleSize val="0"/>
            <c:extLst>
              <c:ext xmlns:c15="http://schemas.microsoft.com/office/drawing/2012/chart" uri="{CE6537A1-D6FC-4f65-9D91-7224C49458BB}">
                <c15:showLeaderLines val="0"/>
              </c:ext>
            </c:extLst>
          </c:dLbls>
          <c:cat>
            <c:strRef>
              <c:f>Hoja1!$B$1:$H$1</c:f>
              <c:strCache>
                <c:ptCount val="7"/>
                <c:pt idx="0">
                  <c:v>Enero</c:v>
                </c:pt>
                <c:pt idx="1">
                  <c:v>Febrero</c:v>
                </c:pt>
                <c:pt idx="2">
                  <c:v>Marzo</c:v>
                </c:pt>
                <c:pt idx="3">
                  <c:v>Abril</c:v>
                </c:pt>
                <c:pt idx="4">
                  <c:v>Mayo</c:v>
                </c:pt>
                <c:pt idx="5">
                  <c:v>Junio</c:v>
                </c:pt>
                <c:pt idx="6">
                  <c:v>Total</c:v>
                </c:pt>
              </c:strCache>
            </c:strRef>
          </c:cat>
          <c:val>
            <c:numRef>
              <c:f>Hoja1!$B$2:$H$2</c:f>
              <c:numCache>
                <c:formatCode>_-* #,##0.0_-;\-* #,##0.0_-;_-* "-"??_-;_-@_-</c:formatCode>
                <c:ptCount val="7"/>
                <c:pt idx="0">
                  <c:v>-272.92506887000008</c:v>
                </c:pt>
                <c:pt idx="1">
                  <c:v>-861.49786626999992</c:v>
                </c:pt>
                <c:pt idx="2">
                  <c:v>6374.8141810400002</c:v>
                </c:pt>
                <c:pt idx="3">
                  <c:v>1900.7563351199999</c:v>
                </c:pt>
                <c:pt idx="4">
                  <c:v>446.59362637999999</c:v>
                </c:pt>
                <c:pt idx="5">
                  <c:v>3776.0805057500002</c:v>
                </c:pt>
                <c:pt idx="6">
                  <c:v>11363.821713150001</c:v>
                </c:pt>
              </c:numCache>
            </c:numRef>
          </c:val>
          <c:extLst>
            <c:ext xmlns:c16="http://schemas.microsoft.com/office/drawing/2014/chart" uri="{C3380CC4-5D6E-409C-BE32-E72D297353CC}">
              <c16:uniqueId val="{00000005-2F5A-4516-A758-482FB4948230}"/>
            </c:ext>
          </c:extLst>
        </c:ser>
        <c:dLbls>
          <c:dLblPos val="inEnd"/>
          <c:showLegendKey val="0"/>
          <c:showVal val="1"/>
          <c:showCatName val="0"/>
          <c:showSerName val="0"/>
          <c:showPercent val="0"/>
          <c:showBubbleSize val="0"/>
        </c:dLbls>
        <c:gapWidth val="83"/>
        <c:overlap val="7"/>
        <c:axId val="152970912"/>
        <c:axId val="152969984"/>
      </c:barChart>
      <c:lineChart>
        <c:grouping val="standard"/>
        <c:varyColors val="0"/>
        <c:ser>
          <c:idx val="1"/>
          <c:order val="1"/>
          <c:tx>
            <c:strRef>
              <c:f>Hoja1!$A$3</c:f>
              <c:strCache>
                <c:ptCount val="1"/>
                <c:pt idx="0">
                  <c:v>Categoría 2</c:v>
                </c:pt>
              </c:strCache>
            </c:strRef>
          </c:tx>
          <c:spPr>
            <a:ln w="22225" cap="rnd">
              <a:noFill/>
              <a:round/>
            </a:ln>
            <a:effectLst>
              <a:outerShdw blurRad="50800" dist="38100" dir="18900000" algn="bl" rotWithShape="0">
                <a:prstClr val="black">
                  <a:alpha val="40000"/>
                </a:prstClr>
              </a:outerShdw>
            </a:effectLst>
          </c:spPr>
          <c:marker>
            <c:symbol val="circle"/>
            <c:size val="21"/>
            <c:spPr>
              <a:solidFill>
                <a:schemeClr val="accent6">
                  <a:lumMod val="20000"/>
                  <a:lumOff val="80000"/>
                </a:schemeClr>
              </a:solidFill>
              <a:ln w="15875">
                <a:solidFill>
                  <a:schemeClr val="accent2"/>
                </a:solidFill>
                <a:round/>
              </a:ln>
              <a:effectLst>
                <a:outerShdw blurRad="50800" dist="38100" dir="18900000" algn="bl" rotWithShape="0">
                  <a:prstClr val="black">
                    <a:alpha val="40000"/>
                  </a:prstClr>
                </a:outerShdw>
              </a:effectLst>
            </c:spPr>
          </c:marker>
          <c:dPt>
            <c:idx val="0"/>
            <c:marker>
              <c:symbol val="circle"/>
              <c:size val="21"/>
              <c:spPr>
                <a:solidFill>
                  <a:schemeClr val="accent3">
                    <a:lumMod val="20000"/>
                    <a:lumOff val="80000"/>
                  </a:schemeClr>
                </a:solidFill>
                <a:ln w="15875">
                  <a:solidFill>
                    <a:schemeClr val="accent2"/>
                  </a:solidFill>
                  <a:round/>
                </a:ln>
                <a:effectLst>
                  <a:outerShdw blurRad="50800" dist="38100" dir="18900000" algn="bl" rotWithShape="0">
                    <a:prstClr val="black">
                      <a:alpha val="40000"/>
                    </a:prstClr>
                  </a:outerShdw>
                </a:effectLst>
              </c:spPr>
            </c:marker>
            <c:bubble3D val="0"/>
            <c:extLst>
              <c:ext xmlns:c16="http://schemas.microsoft.com/office/drawing/2014/chart" uri="{C3380CC4-5D6E-409C-BE32-E72D297353CC}">
                <c16:uniqueId val="{00000006-2F5A-4516-A758-482FB4948230}"/>
              </c:ext>
            </c:extLst>
          </c:dPt>
          <c:dPt>
            <c:idx val="1"/>
            <c:marker>
              <c:symbol val="circle"/>
              <c:size val="21"/>
              <c:spPr>
                <a:solidFill>
                  <a:schemeClr val="accent3">
                    <a:lumMod val="20000"/>
                    <a:lumOff val="80000"/>
                  </a:schemeClr>
                </a:solidFill>
                <a:ln w="15875">
                  <a:solidFill>
                    <a:schemeClr val="accent2"/>
                  </a:solidFill>
                  <a:round/>
                </a:ln>
                <a:effectLst>
                  <a:outerShdw blurRad="50800" dist="38100" dir="18900000" algn="bl" rotWithShape="0">
                    <a:prstClr val="black">
                      <a:alpha val="40000"/>
                    </a:prstClr>
                  </a:outerShdw>
                </a:effectLst>
              </c:spPr>
            </c:marker>
            <c:bubble3D val="0"/>
            <c:extLst>
              <c:ext xmlns:c16="http://schemas.microsoft.com/office/drawing/2014/chart" uri="{C3380CC4-5D6E-409C-BE32-E72D297353CC}">
                <c16:uniqueId val="{00000007-2F5A-4516-A758-482FB4948230}"/>
              </c:ext>
            </c:extLst>
          </c:dPt>
          <c:dPt>
            <c:idx val="2"/>
            <c:marker>
              <c:symbol val="circle"/>
              <c:size val="21"/>
              <c:spPr>
                <a:solidFill>
                  <a:schemeClr val="accent6">
                    <a:lumMod val="20000"/>
                    <a:lumOff val="80000"/>
                  </a:schemeClr>
                </a:solidFill>
                <a:ln w="15875">
                  <a:solidFill>
                    <a:schemeClr val="accent2"/>
                  </a:solidFill>
                  <a:round/>
                </a:ln>
                <a:effectLst>
                  <a:outerShdw blurRad="50800" dist="38100" dir="18900000" algn="bl" rotWithShape="0">
                    <a:prstClr val="black">
                      <a:alpha val="40000"/>
                    </a:prstClr>
                  </a:outerShdw>
                </a:effectLst>
              </c:spPr>
            </c:marker>
            <c:bubble3D val="0"/>
            <c:extLst>
              <c:ext xmlns:c16="http://schemas.microsoft.com/office/drawing/2014/chart" uri="{C3380CC4-5D6E-409C-BE32-E72D297353CC}">
                <c16:uniqueId val="{00000008-2F5A-4516-A758-482FB4948230}"/>
              </c:ext>
            </c:extLst>
          </c:dPt>
          <c:dPt>
            <c:idx val="3"/>
            <c:marker>
              <c:symbol val="circle"/>
              <c:size val="21"/>
              <c:spPr>
                <a:solidFill>
                  <a:schemeClr val="accent6">
                    <a:lumMod val="20000"/>
                    <a:lumOff val="80000"/>
                  </a:schemeClr>
                </a:solidFill>
                <a:ln w="15875">
                  <a:solidFill>
                    <a:schemeClr val="accent2"/>
                  </a:solidFill>
                  <a:round/>
                </a:ln>
                <a:effectLst>
                  <a:outerShdw blurRad="50800" dist="38100" dir="18900000" algn="bl" rotWithShape="0">
                    <a:prstClr val="black">
                      <a:alpha val="40000"/>
                    </a:prstClr>
                  </a:outerShdw>
                </a:effectLst>
              </c:spPr>
            </c:marker>
            <c:bubble3D val="0"/>
            <c:spPr>
              <a:ln w="22225" cap="rnd">
                <a:noFill/>
                <a:round/>
              </a:ln>
              <a:effectLst>
                <a:outerShdw blurRad="50800" dist="38100" dir="18900000" algn="bl" rotWithShape="0">
                  <a:prstClr val="black">
                    <a:alpha val="40000"/>
                  </a:prstClr>
                </a:outerShdw>
              </a:effectLst>
            </c:spPr>
            <c:extLst>
              <c:ext xmlns:c16="http://schemas.microsoft.com/office/drawing/2014/chart" uri="{C3380CC4-5D6E-409C-BE32-E72D297353CC}">
                <c16:uniqueId val="{0000000A-2F5A-4516-A758-482FB4948230}"/>
              </c:ext>
            </c:extLst>
          </c:dPt>
          <c:dPt>
            <c:idx val="6"/>
            <c:marker>
              <c:symbol val="circle"/>
              <c:size val="21"/>
              <c:spPr>
                <a:noFill/>
                <a:ln w="15875">
                  <a:noFill/>
                  <a:round/>
                </a:ln>
                <a:effectLst/>
              </c:spPr>
            </c:marker>
            <c:bubble3D val="0"/>
            <c:spPr>
              <a:ln w="22225" cap="rnd">
                <a:noFill/>
                <a:round/>
              </a:ln>
              <a:effectLst/>
            </c:spPr>
            <c:extLst>
              <c:ext xmlns:c16="http://schemas.microsoft.com/office/drawing/2014/chart" uri="{C3380CC4-5D6E-409C-BE32-E72D297353CC}">
                <c16:uniqueId val="{0000000E-25C3-47FC-B730-F6F202BC7A43}"/>
              </c:ext>
            </c:extLst>
          </c:dPt>
          <c:dLbls>
            <c:dLbl>
              <c:idx val="6"/>
              <c:delete val="1"/>
              <c:extLst>
                <c:ext xmlns:c15="http://schemas.microsoft.com/office/drawing/2012/chart" uri="{CE6537A1-D6FC-4f65-9D91-7224C49458BB}"/>
                <c:ext xmlns:c16="http://schemas.microsoft.com/office/drawing/2014/chart" uri="{C3380CC4-5D6E-409C-BE32-E72D297353CC}">
                  <c16:uniqueId val="{0000000E-25C3-47FC-B730-F6F202BC7A43}"/>
                </c:ext>
              </c:extLst>
            </c:dLbl>
            <c:dLbl>
              <c:idx val="12"/>
              <c:delete val="1"/>
              <c:extLst>
                <c:ext xmlns:c15="http://schemas.microsoft.com/office/drawing/2012/chart" uri="{CE6537A1-D6FC-4f65-9D91-7224C49458BB}"/>
                <c:ext xmlns:c16="http://schemas.microsoft.com/office/drawing/2014/chart" uri="{C3380CC4-5D6E-409C-BE32-E72D297353CC}">
                  <c16:uniqueId val="{0000000D-8631-45BD-9BD9-751B826219A5}"/>
                </c:ext>
              </c:extLst>
            </c:dLbl>
            <c:numFmt formatCode="#,##0.0_ ;[Red]\-#,##0.0\ " sourceLinked="0"/>
            <c:spPr>
              <a:noFill/>
              <a:ln>
                <a:noFill/>
              </a:ln>
              <a:effectLst/>
            </c:spPr>
            <c:txPr>
              <a:bodyPr rot="0" spcFirstLastPara="1" vertOverflow="ellipsis" vert="horz" wrap="square" anchor="ctr" anchorCtr="1"/>
              <a:lstStyle/>
              <a:p>
                <a:pPr>
                  <a:defRPr sz="6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s-G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Hoja1!$B$1:$H$1</c:f>
              <c:strCache>
                <c:ptCount val="7"/>
                <c:pt idx="0">
                  <c:v>Enero</c:v>
                </c:pt>
                <c:pt idx="1">
                  <c:v>Febrero</c:v>
                </c:pt>
                <c:pt idx="2">
                  <c:v>Marzo</c:v>
                </c:pt>
                <c:pt idx="3">
                  <c:v>Abril</c:v>
                </c:pt>
                <c:pt idx="4">
                  <c:v>Mayo</c:v>
                </c:pt>
                <c:pt idx="5">
                  <c:v>Junio</c:v>
                </c:pt>
                <c:pt idx="6">
                  <c:v>Total</c:v>
                </c:pt>
              </c:strCache>
            </c:strRef>
          </c:cat>
          <c:val>
            <c:numRef>
              <c:f>Hoja1!$B$3:$H$3</c:f>
              <c:numCache>
                <c:formatCode>_-* #,##0.0_-;\-* #,##0.0_-;_-* "-"??_-;_-@_-</c:formatCode>
                <c:ptCount val="7"/>
                <c:pt idx="0">
                  <c:v>-272.92506887000008</c:v>
                </c:pt>
                <c:pt idx="1">
                  <c:v>-861.49786626999992</c:v>
                </c:pt>
                <c:pt idx="2">
                  <c:v>6374.8141810400002</c:v>
                </c:pt>
                <c:pt idx="3">
                  <c:v>1900.7563351199999</c:v>
                </c:pt>
                <c:pt idx="4">
                  <c:v>446.59362637999999</c:v>
                </c:pt>
                <c:pt idx="5">
                  <c:v>3776.0805057500002</c:v>
                </c:pt>
                <c:pt idx="6">
                  <c:v>11363.821713150001</c:v>
                </c:pt>
              </c:numCache>
            </c:numRef>
          </c:val>
          <c:smooth val="0"/>
          <c:extLst>
            <c:ext xmlns:c16="http://schemas.microsoft.com/office/drawing/2014/chart" uri="{C3380CC4-5D6E-409C-BE32-E72D297353CC}">
              <c16:uniqueId val="{0000000B-2F5A-4516-A758-482FB4948230}"/>
            </c:ext>
          </c:extLst>
        </c:ser>
        <c:dLbls>
          <c:showLegendKey val="0"/>
          <c:showVal val="0"/>
          <c:showCatName val="0"/>
          <c:showSerName val="0"/>
          <c:showPercent val="0"/>
          <c:showBubbleSize val="0"/>
        </c:dLbls>
        <c:marker val="1"/>
        <c:smooth val="0"/>
        <c:axId val="152970912"/>
        <c:axId val="152969984"/>
      </c:lineChart>
      <c:catAx>
        <c:axId val="152970912"/>
        <c:scaling>
          <c:orientation val="minMax"/>
        </c:scaling>
        <c:delete val="0"/>
        <c:axPos val="b"/>
        <c:numFmt formatCode="General" sourceLinked="1"/>
        <c:majorTickMark val="none"/>
        <c:minorTickMark val="none"/>
        <c:tickLblPos val="low"/>
        <c:spPr>
          <a:noFill/>
          <a:ln w="9525" cap="flat" cmpd="sng" algn="ctr">
            <a:solidFill>
              <a:schemeClr val="dk1">
                <a:lumMod val="15000"/>
                <a:lumOff val="85000"/>
              </a:schemeClr>
            </a:solidFill>
            <a:round/>
          </a:ln>
          <a:effectLst/>
        </c:spPr>
        <c:txPr>
          <a:bodyPr rot="-5400000" spcFirstLastPara="1" vertOverflow="ellipsis" wrap="square" anchor="ctr" anchorCtr="1"/>
          <a:lstStyle/>
          <a:p>
            <a:pPr>
              <a:defRPr sz="900" b="1" i="0" u="none" strike="noStrike" kern="1200" cap="none" spc="0" normalizeH="0" baseline="0">
                <a:solidFill>
                  <a:schemeClr val="tx1"/>
                </a:solidFill>
                <a:latin typeface="Times New Roman" panose="02020603050405020304" pitchFamily="18" charset="0"/>
                <a:ea typeface="+mn-ea"/>
                <a:cs typeface="Times New Roman" panose="02020603050405020304" pitchFamily="18" charset="0"/>
              </a:defRPr>
            </a:pPr>
            <a:endParaRPr lang="es-GT"/>
          </a:p>
        </c:txPr>
        <c:crossAx val="152969984"/>
        <c:crosses val="autoZero"/>
        <c:auto val="1"/>
        <c:lblAlgn val="ctr"/>
        <c:lblOffset val="100"/>
        <c:noMultiLvlLbl val="0"/>
      </c:catAx>
      <c:valAx>
        <c:axId val="152969984"/>
        <c:scaling>
          <c:orientation val="minMax"/>
        </c:scaling>
        <c:delete val="0"/>
        <c:axPos val="l"/>
        <c:majorGridlines>
          <c:spPr>
            <a:ln w="9525" cap="flat" cmpd="sng" algn="ctr">
              <a:solidFill>
                <a:schemeClr val="dk1">
                  <a:lumMod val="15000"/>
                  <a:lumOff val="85000"/>
                </a:schemeClr>
              </a:solidFill>
              <a:round/>
            </a:ln>
            <a:effectLst/>
          </c:spPr>
        </c:majorGridlines>
        <c:numFmt formatCode="#,##0_ ;[Red]\-#,##0\ "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152970912"/>
        <c:crosses val="autoZero"/>
        <c:crossBetween val="between"/>
      </c:valAx>
      <c:spPr>
        <a:pattFill prst="ltDnDiag">
          <a:fgClr>
            <a:schemeClr val="dk1">
              <a:lumMod val="15000"/>
              <a:lumOff val="85000"/>
            </a:schemeClr>
          </a:fgClr>
          <a:bgClr>
            <a:schemeClr val="lt1"/>
          </a:bgClr>
        </a:patt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es-GT"/>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withinLinear" id="14">
  <a:schemeClr val="accent1"/>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withinLinear" id="18">
  <a:schemeClr val="accent5"/>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32">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alpha val="54000"/>
          </a:schemeClr>
        </a:solidFill>
        <a:round/>
      </a:ln>
    </cs:spPr>
  </cs:gridlineMajor>
  <cs:gridlineMinor>
    <cs:lnRef idx="0"/>
    <cs:fillRef idx="0"/>
    <cs:effectRef idx="0"/>
    <cs:fontRef idx="minor">
      <a:schemeClr val="dk1"/>
    </cs:fontRef>
    <cs:spPr>
      <a:ln w="9525" cap="flat" cmpd="sng" algn="ctr">
        <a:solidFill>
          <a:schemeClr val="dk1">
            <a:lumMod val="15000"/>
            <a:lumOff val="85000"/>
            <a:alpha val="51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10.xml><?xml version="1.0" encoding="utf-8"?>
<cs:chartStyle xmlns:cs="http://schemas.microsoft.com/office/drawing/2012/chartStyle" xmlns:a="http://schemas.openxmlformats.org/drawingml/2006/main" id="22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11.xml><?xml version="1.0" encoding="utf-8"?>
<cs:chartStyle xmlns:cs="http://schemas.microsoft.com/office/drawing/2012/chartStyle" xmlns:a="http://schemas.openxmlformats.org/drawingml/2006/main" id="221">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1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3.xml><?xml version="1.0" encoding="utf-8"?>
<cs:chartStyle xmlns:cs="http://schemas.microsoft.com/office/drawing/2012/chartStyle" xmlns:a="http://schemas.openxmlformats.org/drawingml/2006/main" id="221">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4.xml><?xml version="1.0" encoding="utf-8"?>
<cs:chartStyle xmlns:cs="http://schemas.microsoft.com/office/drawing/2012/chartStyle" xmlns:a="http://schemas.openxmlformats.org/drawingml/2006/main" id="230">
  <cs:axisTitle>
    <cs:lnRef idx="0"/>
    <cs:fillRef idx="0"/>
    <cs:effectRef idx="0"/>
    <cs:fontRef idx="minor">
      <a:schemeClr val="dk1">
        <a:lumMod val="65000"/>
        <a:lumOff val="35000"/>
      </a:schemeClr>
    </cs:fontRef>
    <cs:defRPr sz="900" kern="1200" cap="all"/>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b="0" kern="1200" spc="20" baseline="0"/>
  </cs:categoryAxis>
  <cs:chartArea mods="allowNoLineOverride">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0"/>
    <cs:effectRef idx="0"/>
    <cs:fontRef idx="minor">
      <a:schemeClr val="dk1"/>
    </cs:fontRef>
    <cs:spPr>
      <a:ln w="22225" cap="rnd" cmpd="sng" algn="ctr">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cap="flat" cmpd="sng" algn="ctr">
        <a:solidFill>
          <a:schemeClr val="phClr"/>
        </a:solidFill>
        <a:round/>
      </a:ln>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dk1">
            <a:lumMod val="65000"/>
            <a:lumOff val="35000"/>
          </a:schemeClr>
        </a:solidFill>
      </a:ln>
    </cs:spPr>
  </cs:downBar>
  <cs:dropLine>
    <cs:lnRef idx="0"/>
    <cs:fillRef idx="0"/>
    <cs:effectRef idx="0"/>
    <cs:fontRef idx="minor">
      <a:schemeClr val="dk1"/>
    </cs:fontRef>
    <cs:spPr>
      <a:ln w="9525" cap="flat" cmpd="sng" algn="ctr">
        <a:solidFill>
          <a:schemeClr val="dk1">
            <a:lumMod val="35000"/>
            <a:lumOff val="65000"/>
            <a:alpha val="33000"/>
          </a:schemeClr>
        </a:solidFill>
        <a:round/>
      </a:ln>
    </cs:spPr>
  </cs:dropLine>
  <cs:errorBar>
    <cs:lnRef idx="0"/>
    <cs:fillRef idx="0"/>
    <cs:effectRef idx="0"/>
    <cs:fontRef idx="minor">
      <a:schemeClr val="dk1"/>
    </cs:fontRef>
    <cs:spPr>
      <a:ln w="9525">
        <a:solidFill>
          <a:schemeClr val="dk1">
            <a:lumMod val="65000"/>
            <a:lumOff val="35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gradFill>
        <a:gsLst>
          <a:gs pos="100000">
            <a:schemeClr val="lt1">
              <a:lumMod val="95000"/>
            </a:schemeClr>
          </a:gs>
          <a:gs pos="0">
            <a:schemeClr val="lt1"/>
          </a:gs>
        </a:gsLst>
        <a:lin ang="5400000" scaled="0"/>
      </a:gradFill>
    </cs:spPr>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35000"/>
            <a:lumOff val="65000"/>
          </a:schemeClr>
        </a:solidFill>
        <a:prstDash val="dash"/>
      </a:ln>
    </cs:spPr>
  </cs:seriesLine>
  <cs:title>
    <cs:lnRef idx="0"/>
    <cs:fillRef idx="0"/>
    <cs:effectRef idx="0"/>
    <cs:fontRef idx="minor">
      <a:schemeClr val="dk1">
        <a:lumMod val="50000"/>
        <a:lumOff val="50000"/>
      </a:schemeClr>
    </cs:fontRef>
    <cs:defRPr sz="1400" kern="1200" cap="none" spc="2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65000"/>
        <a:lumOff val="35000"/>
      </a:schemeClr>
    </cs:fontRef>
    <cs:defRPr sz="900" kern="1200" spc="20" baseline="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6.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7.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8.xml><?xml version="1.0" encoding="utf-8"?>
<cs:chartStyle xmlns:cs="http://schemas.microsoft.com/office/drawing/2012/chartStyle" xmlns:a="http://schemas.openxmlformats.org/drawingml/2006/main" id="22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9.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F27429C-5B6E-468F-AF42-BE9281FF2A23}" type="doc">
      <dgm:prSet loTypeId="urn:microsoft.com/office/officeart/2005/8/layout/list1" loCatId="list" qsTypeId="urn:microsoft.com/office/officeart/2005/8/quickstyle/3d2" qsCatId="3D" csTypeId="urn:microsoft.com/office/officeart/2005/8/colors/accent1_2" csCatId="accent1" phldr="1"/>
      <dgm:spPr/>
      <dgm:t>
        <a:bodyPr/>
        <a:lstStyle/>
        <a:p>
          <a:endParaRPr lang="en-US"/>
        </a:p>
      </dgm:t>
    </dgm:pt>
    <dgm:pt modelId="{68DFCB13-F778-41C4-88A6-8A8793BBCF6B}">
      <dgm:prSet phldrT="[Texto]" custT="1"/>
      <dgm:spPr/>
      <dgm:t>
        <a:bodyPr/>
        <a:lstStyle/>
        <a:p>
          <a:r>
            <a:rPr lang="en-US" sz="1000">
              <a:latin typeface="Times New Roman" panose="02020603050405020304" pitchFamily="18" charset="0"/>
              <a:cs typeface="Times New Roman" panose="02020603050405020304" pitchFamily="18" charset="0"/>
            </a:rPr>
            <a:t>Nota Informativa</a:t>
          </a:r>
        </a:p>
      </dgm:t>
    </dgm:pt>
    <dgm:pt modelId="{55E528F8-5473-447A-B4D6-39039A5FF545}" type="parTrans" cxnId="{9E117C35-F0A3-4260-AE5F-3261DFB7C6EE}">
      <dgm:prSet/>
      <dgm:spPr/>
      <dgm:t>
        <a:bodyPr/>
        <a:lstStyle/>
        <a:p>
          <a:endParaRPr lang="en-US" sz="800">
            <a:latin typeface="Times New Roman" panose="02020603050405020304" pitchFamily="18" charset="0"/>
            <a:cs typeface="Times New Roman" panose="02020603050405020304" pitchFamily="18" charset="0"/>
          </a:endParaRPr>
        </a:p>
      </dgm:t>
    </dgm:pt>
    <dgm:pt modelId="{18C21111-088F-4CAC-A53E-A2F91EF73064}" type="sibTrans" cxnId="{9E117C35-F0A3-4260-AE5F-3261DFB7C6EE}">
      <dgm:prSet/>
      <dgm:spPr/>
      <dgm:t>
        <a:bodyPr/>
        <a:lstStyle/>
        <a:p>
          <a:endParaRPr lang="en-US" sz="800">
            <a:latin typeface="Times New Roman" panose="02020603050405020304" pitchFamily="18" charset="0"/>
            <a:cs typeface="Times New Roman" panose="02020603050405020304" pitchFamily="18" charset="0"/>
          </a:endParaRPr>
        </a:p>
      </dgm:t>
    </dgm:pt>
    <dgm:pt modelId="{01C29C0B-230A-4A2F-B7AB-59E88CC6B709}">
      <dgm:prSet phldrT="[Texto]" custT="1"/>
      <dgm:spPr/>
      <dgm:t>
        <a:bodyPr/>
        <a:lstStyle/>
        <a:p>
          <a:r>
            <a:rPr lang="en-US" sz="1000">
              <a:latin typeface="Times New Roman" panose="02020603050405020304" pitchFamily="18" charset="0"/>
              <a:cs typeface="Times New Roman" panose="02020603050405020304" pitchFamily="18" charset="0"/>
            </a:rPr>
            <a:t>Hay una diferencia importante entre la definición de "ingreso" en la metodología nacional y los es</a:t>
          </a:r>
          <a:r>
            <a:rPr lang="en-US" sz="1000">
              <a:solidFill>
                <a:sysClr val="windowText" lastClr="000000"/>
              </a:solidFill>
              <a:latin typeface="Times New Roman" panose="02020603050405020304" pitchFamily="18" charset="0"/>
              <a:cs typeface="Times New Roman" panose="02020603050405020304" pitchFamily="18" charset="0"/>
            </a:rPr>
            <a:t>tán</a:t>
          </a:r>
          <a:r>
            <a:rPr lang="en-US" sz="1000">
              <a:latin typeface="Times New Roman" panose="02020603050405020304" pitchFamily="18" charset="0"/>
              <a:cs typeface="Times New Roman" panose="02020603050405020304" pitchFamily="18" charset="0"/>
            </a:rPr>
            <a:t>dares internacionales. </a:t>
          </a:r>
          <a:r>
            <a:rPr lang="en-US" sz="1000" b="1">
              <a:latin typeface="Times New Roman" panose="02020603050405020304" pitchFamily="18" charset="0"/>
              <a:cs typeface="Times New Roman" panose="02020603050405020304" pitchFamily="18" charset="0"/>
            </a:rPr>
            <a:t>En los </a:t>
          </a:r>
          <a:r>
            <a:rPr lang="en-US" sz="1000" b="1" strike="noStrike">
              <a:solidFill>
                <a:sysClr val="windowText" lastClr="000000"/>
              </a:solidFill>
              <a:latin typeface="Times New Roman" panose="02020603050405020304" pitchFamily="18" charset="0"/>
              <a:cs typeface="Times New Roman" panose="02020603050405020304" pitchFamily="18" charset="0"/>
            </a:rPr>
            <a:t>estándares</a:t>
          </a:r>
          <a:r>
            <a:rPr lang="en-US" sz="1000" b="1">
              <a:latin typeface="Times New Roman" panose="02020603050405020304" pitchFamily="18" charset="0"/>
              <a:cs typeface="Times New Roman" panose="02020603050405020304" pitchFamily="18" charset="0"/>
            </a:rPr>
            <a:t> internacionales, un ingreso es un aumento del patrimonio neto como resultado de una transacción (MEFP 2014) </a:t>
          </a:r>
        </a:p>
      </dgm:t>
    </dgm:pt>
    <dgm:pt modelId="{BD00C7DA-D115-4DC8-96E9-9A8238F85148}" type="parTrans" cxnId="{047B5950-955A-4E9C-890F-03A957F573F6}">
      <dgm:prSet/>
      <dgm:spPr/>
      <dgm:t>
        <a:bodyPr/>
        <a:lstStyle/>
        <a:p>
          <a:endParaRPr lang="en-US" sz="800">
            <a:latin typeface="Times New Roman" panose="02020603050405020304" pitchFamily="18" charset="0"/>
            <a:cs typeface="Times New Roman" panose="02020603050405020304" pitchFamily="18" charset="0"/>
          </a:endParaRPr>
        </a:p>
      </dgm:t>
    </dgm:pt>
    <dgm:pt modelId="{65EB422C-F1D3-4985-A61D-252683A994E5}" type="sibTrans" cxnId="{047B5950-955A-4E9C-890F-03A957F573F6}">
      <dgm:prSet/>
      <dgm:spPr/>
      <dgm:t>
        <a:bodyPr/>
        <a:lstStyle/>
        <a:p>
          <a:endParaRPr lang="en-US" sz="800">
            <a:latin typeface="Times New Roman" panose="02020603050405020304" pitchFamily="18" charset="0"/>
            <a:cs typeface="Times New Roman" panose="02020603050405020304" pitchFamily="18" charset="0"/>
          </a:endParaRPr>
        </a:p>
      </dgm:t>
    </dgm:pt>
    <dgm:pt modelId="{7323760A-CAC8-432D-A020-F77BFA77D735}" type="pres">
      <dgm:prSet presAssocID="{FF27429C-5B6E-468F-AF42-BE9281FF2A23}" presName="linear" presStyleCnt="0">
        <dgm:presLayoutVars>
          <dgm:dir/>
          <dgm:animLvl val="lvl"/>
          <dgm:resizeHandles val="exact"/>
        </dgm:presLayoutVars>
      </dgm:prSet>
      <dgm:spPr/>
    </dgm:pt>
    <dgm:pt modelId="{6E63B848-FDAE-4891-8566-8BE88B653316}" type="pres">
      <dgm:prSet presAssocID="{68DFCB13-F778-41C4-88A6-8A8793BBCF6B}" presName="parentLin" presStyleCnt="0"/>
      <dgm:spPr/>
    </dgm:pt>
    <dgm:pt modelId="{374EA5B0-C6AD-46BF-9645-7F0ED252FE66}" type="pres">
      <dgm:prSet presAssocID="{68DFCB13-F778-41C4-88A6-8A8793BBCF6B}" presName="parentLeftMargin" presStyleLbl="node1" presStyleIdx="0" presStyleCnt="1"/>
      <dgm:spPr/>
    </dgm:pt>
    <dgm:pt modelId="{377E1CD8-0067-463D-AA47-7581C029D7D4}" type="pres">
      <dgm:prSet presAssocID="{68DFCB13-F778-41C4-88A6-8A8793BBCF6B}" presName="parentText" presStyleLbl="node1" presStyleIdx="0" presStyleCnt="1" custScaleX="33793">
        <dgm:presLayoutVars>
          <dgm:chMax val="0"/>
          <dgm:bulletEnabled val="1"/>
        </dgm:presLayoutVars>
      </dgm:prSet>
      <dgm:spPr/>
    </dgm:pt>
    <dgm:pt modelId="{8C78493C-3C9C-4FDF-89DE-DDAC27488222}" type="pres">
      <dgm:prSet presAssocID="{68DFCB13-F778-41C4-88A6-8A8793BBCF6B}" presName="negativeSpace" presStyleCnt="0"/>
      <dgm:spPr/>
    </dgm:pt>
    <dgm:pt modelId="{1111B519-2F2F-4512-95FE-D2216303CCBE}" type="pres">
      <dgm:prSet presAssocID="{68DFCB13-F778-41C4-88A6-8A8793BBCF6B}" presName="childText" presStyleLbl="conFgAcc1" presStyleIdx="0" presStyleCnt="1">
        <dgm:presLayoutVars>
          <dgm:bulletEnabled val="1"/>
        </dgm:presLayoutVars>
      </dgm:prSet>
      <dgm:spPr/>
    </dgm:pt>
  </dgm:ptLst>
  <dgm:cxnLst>
    <dgm:cxn modelId="{2B97E307-DDDC-45DC-9CA7-632648FED3B9}" type="presOf" srcId="{01C29C0B-230A-4A2F-B7AB-59E88CC6B709}" destId="{1111B519-2F2F-4512-95FE-D2216303CCBE}" srcOrd="0" destOrd="0" presId="urn:microsoft.com/office/officeart/2005/8/layout/list1"/>
    <dgm:cxn modelId="{E9E7F310-CA62-40CB-950B-C2B09700E887}" type="presOf" srcId="{FF27429C-5B6E-468F-AF42-BE9281FF2A23}" destId="{7323760A-CAC8-432D-A020-F77BFA77D735}" srcOrd="0" destOrd="0" presId="urn:microsoft.com/office/officeart/2005/8/layout/list1"/>
    <dgm:cxn modelId="{9E117C35-F0A3-4260-AE5F-3261DFB7C6EE}" srcId="{FF27429C-5B6E-468F-AF42-BE9281FF2A23}" destId="{68DFCB13-F778-41C4-88A6-8A8793BBCF6B}" srcOrd="0" destOrd="0" parTransId="{55E528F8-5473-447A-B4D6-39039A5FF545}" sibTransId="{18C21111-088F-4CAC-A53E-A2F91EF73064}"/>
    <dgm:cxn modelId="{CF9E1A65-553C-4315-9B4D-6922C5CF2185}" type="presOf" srcId="{68DFCB13-F778-41C4-88A6-8A8793BBCF6B}" destId="{377E1CD8-0067-463D-AA47-7581C029D7D4}" srcOrd="1" destOrd="0" presId="urn:microsoft.com/office/officeart/2005/8/layout/list1"/>
    <dgm:cxn modelId="{047B5950-955A-4E9C-890F-03A957F573F6}" srcId="{68DFCB13-F778-41C4-88A6-8A8793BBCF6B}" destId="{01C29C0B-230A-4A2F-B7AB-59E88CC6B709}" srcOrd="0" destOrd="0" parTransId="{BD00C7DA-D115-4DC8-96E9-9A8238F85148}" sibTransId="{65EB422C-F1D3-4985-A61D-252683A994E5}"/>
    <dgm:cxn modelId="{3FDC437B-7FEB-4570-9F57-FAA88171B111}" type="presOf" srcId="{68DFCB13-F778-41C4-88A6-8A8793BBCF6B}" destId="{374EA5B0-C6AD-46BF-9645-7F0ED252FE66}" srcOrd="0" destOrd="0" presId="urn:microsoft.com/office/officeart/2005/8/layout/list1"/>
    <dgm:cxn modelId="{4BC55A49-751C-408F-B176-B7C4C361EF7E}" type="presParOf" srcId="{7323760A-CAC8-432D-A020-F77BFA77D735}" destId="{6E63B848-FDAE-4891-8566-8BE88B653316}" srcOrd="0" destOrd="0" presId="urn:microsoft.com/office/officeart/2005/8/layout/list1"/>
    <dgm:cxn modelId="{168861B8-2B13-4D21-A0A3-3DF5AA125F21}" type="presParOf" srcId="{6E63B848-FDAE-4891-8566-8BE88B653316}" destId="{374EA5B0-C6AD-46BF-9645-7F0ED252FE66}" srcOrd="0" destOrd="0" presId="urn:microsoft.com/office/officeart/2005/8/layout/list1"/>
    <dgm:cxn modelId="{FD713377-EE71-47D7-9EBD-4A34BD75CF63}" type="presParOf" srcId="{6E63B848-FDAE-4891-8566-8BE88B653316}" destId="{377E1CD8-0067-463D-AA47-7581C029D7D4}" srcOrd="1" destOrd="0" presId="urn:microsoft.com/office/officeart/2005/8/layout/list1"/>
    <dgm:cxn modelId="{855C1ABF-EE0E-4368-AAF2-7D3585E239A5}" type="presParOf" srcId="{7323760A-CAC8-432D-A020-F77BFA77D735}" destId="{8C78493C-3C9C-4FDF-89DE-DDAC27488222}" srcOrd="1" destOrd="0" presId="urn:microsoft.com/office/officeart/2005/8/layout/list1"/>
    <dgm:cxn modelId="{680373E2-88CE-4642-9587-481CCEFD2578}" type="presParOf" srcId="{7323760A-CAC8-432D-A020-F77BFA77D735}" destId="{1111B519-2F2F-4512-95FE-D2216303CCBE}" srcOrd="2" destOrd="0" presId="urn:microsoft.com/office/officeart/2005/8/layout/list1"/>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FF27429C-5B6E-468F-AF42-BE9281FF2A23}" type="doc">
      <dgm:prSet loTypeId="urn:microsoft.com/office/officeart/2005/8/layout/list1" loCatId="list" qsTypeId="urn:microsoft.com/office/officeart/2005/8/quickstyle/3d2" qsCatId="3D" csTypeId="urn:microsoft.com/office/officeart/2005/8/colors/accent1_2" csCatId="accent1" phldr="1"/>
      <dgm:spPr/>
      <dgm:t>
        <a:bodyPr/>
        <a:lstStyle/>
        <a:p>
          <a:endParaRPr lang="en-US"/>
        </a:p>
      </dgm:t>
    </dgm:pt>
    <dgm:pt modelId="{68DFCB13-F778-41C4-88A6-8A8793BBCF6B}">
      <dgm:prSet phldrT="[Texto]" custT="1"/>
      <dgm:spPr/>
      <dgm:t>
        <a:bodyPr/>
        <a:lstStyle/>
        <a:p>
          <a:r>
            <a:rPr lang="en-US" sz="1000">
              <a:latin typeface="Times New Roman" panose="02020603050405020304" pitchFamily="18" charset="0"/>
              <a:cs typeface="Times New Roman" panose="02020603050405020304" pitchFamily="18" charset="0"/>
            </a:rPr>
            <a:t>Nota Informativa</a:t>
          </a:r>
        </a:p>
      </dgm:t>
    </dgm:pt>
    <dgm:pt modelId="{55E528F8-5473-447A-B4D6-39039A5FF545}" type="parTrans" cxnId="{9E117C35-F0A3-4260-AE5F-3261DFB7C6EE}">
      <dgm:prSet/>
      <dgm:spPr/>
      <dgm:t>
        <a:bodyPr/>
        <a:lstStyle/>
        <a:p>
          <a:endParaRPr lang="en-US" sz="800">
            <a:latin typeface="Times New Roman" panose="02020603050405020304" pitchFamily="18" charset="0"/>
            <a:cs typeface="Times New Roman" panose="02020603050405020304" pitchFamily="18" charset="0"/>
          </a:endParaRPr>
        </a:p>
      </dgm:t>
    </dgm:pt>
    <dgm:pt modelId="{18C21111-088F-4CAC-A53E-A2F91EF73064}" type="sibTrans" cxnId="{9E117C35-F0A3-4260-AE5F-3261DFB7C6EE}">
      <dgm:prSet/>
      <dgm:spPr/>
      <dgm:t>
        <a:bodyPr/>
        <a:lstStyle/>
        <a:p>
          <a:endParaRPr lang="en-US" sz="800">
            <a:latin typeface="Times New Roman" panose="02020603050405020304" pitchFamily="18" charset="0"/>
            <a:cs typeface="Times New Roman" panose="02020603050405020304" pitchFamily="18" charset="0"/>
          </a:endParaRPr>
        </a:p>
      </dgm:t>
    </dgm:pt>
    <dgm:pt modelId="{01C29C0B-230A-4A2F-B7AB-59E88CC6B709}">
      <dgm:prSet phldrT="[Texto]" custT="1"/>
      <dgm:spPr/>
      <dgm:t>
        <a:bodyPr/>
        <a:lstStyle/>
        <a:p>
          <a:pPr algn="just"/>
          <a:r>
            <a:rPr lang="en-US" sz="1000">
              <a:latin typeface="Times New Roman" panose="02020603050405020304" pitchFamily="18" charset="0"/>
              <a:cs typeface="Times New Roman" panose="02020603050405020304" pitchFamily="18" charset="0"/>
            </a:rPr>
            <a:t>Los "Gastos" en los estándares internacionales presentan mayores diferencias respecto a la información presentada en metodología nacional y es importante entender que estos no son comparables entre si. </a:t>
          </a:r>
          <a:r>
            <a:rPr lang="en-US" sz="1000" b="1">
              <a:latin typeface="Times New Roman" panose="02020603050405020304" pitchFamily="18" charset="0"/>
              <a:cs typeface="Times New Roman" panose="02020603050405020304" pitchFamily="18" charset="0"/>
            </a:rPr>
            <a:t>En los e</a:t>
          </a:r>
          <a:r>
            <a:rPr lang="en-US" sz="1000" b="1" strike="noStrike">
              <a:solidFill>
                <a:sysClr val="windowText" lastClr="000000"/>
              </a:solidFill>
              <a:latin typeface="Times New Roman" panose="02020603050405020304" pitchFamily="18" charset="0"/>
              <a:cs typeface="Times New Roman" panose="02020603050405020304" pitchFamily="18" charset="0"/>
            </a:rPr>
            <a:t>stándares</a:t>
          </a:r>
          <a:r>
            <a:rPr lang="en-US" sz="1000" b="1">
              <a:latin typeface="Times New Roman" panose="02020603050405020304" pitchFamily="18" charset="0"/>
              <a:cs typeface="Times New Roman" panose="02020603050405020304" pitchFamily="18" charset="0"/>
            </a:rPr>
            <a:t> internacionales, un gasto es una disminución del patrimonio neto como resultado de una transacción (MEFP 2014) </a:t>
          </a:r>
        </a:p>
      </dgm:t>
    </dgm:pt>
    <dgm:pt modelId="{BD00C7DA-D115-4DC8-96E9-9A8238F85148}" type="parTrans" cxnId="{047B5950-955A-4E9C-890F-03A957F573F6}">
      <dgm:prSet/>
      <dgm:spPr/>
      <dgm:t>
        <a:bodyPr/>
        <a:lstStyle/>
        <a:p>
          <a:endParaRPr lang="en-US" sz="800">
            <a:latin typeface="Times New Roman" panose="02020603050405020304" pitchFamily="18" charset="0"/>
            <a:cs typeface="Times New Roman" panose="02020603050405020304" pitchFamily="18" charset="0"/>
          </a:endParaRPr>
        </a:p>
      </dgm:t>
    </dgm:pt>
    <dgm:pt modelId="{65EB422C-F1D3-4985-A61D-252683A994E5}" type="sibTrans" cxnId="{047B5950-955A-4E9C-890F-03A957F573F6}">
      <dgm:prSet/>
      <dgm:spPr/>
      <dgm:t>
        <a:bodyPr/>
        <a:lstStyle/>
        <a:p>
          <a:endParaRPr lang="en-US" sz="800">
            <a:latin typeface="Times New Roman" panose="02020603050405020304" pitchFamily="18" charset="0"/>
            <a:cs typeface="Times New Roman" panose="02020603050405020304" pitchFamily="18" charset="0"/>
          </a:endParaRPr>
        </a:p>
      </dgm:t>
    </dgm:pt>
    <dgm:pt modelId="{2CC71809-35DE-431A-8E89-16EE3CBE8060}">
      <dgm:prSet phldrT="[Texto]" custT="1"/>
      <dgm:spPr/>
      <dgm:t>
        <a:bodyPr/>
        <a:lstStyle/>
        <a:p>
          <a:pPr algn="just"/>
          <a:endParaRPr lang="en-US" sz="1000" b="1">
            <a:latin typeface="Times New Roman" panose="02020603050405020304" pitchFamily="18" charset="0"/>
            <a:cs typeface="Times New Roman" panose="02020603050405020304" pitchFamily="18" charset="0"/>
          </a:endParaRPr>
        </a:p>
      </dgm:t>
    </dgm:pt>
    <dgm:pt modelId="{FB3419CE-7C14-4ADE-BDF0-3D966782548A}" type="parTrans" cxnId="{537138B4-325E-4E94-87BB-8E2AEB889CE3}">
      <dgm:prSet/>
      <dgm:spPr/>
      <dgm:t>
        <a:bodyPr/>
        <a:lstStyle/>
        <a:p>
          <a:endParaRPr lang="es-GT"/>
        </a:p>
      </dgm:t>
    </dgm:pt>
    <dgm:pt modelId="{8B785DAD-3895-49B6-A969-58089C321C73}" type="sibTrans" cxnId="{537138B4-325E-4E94-87BB-8E2AEB889CE3}">
      <dgm:prSet/>
      <dgm:spPr/>
      <dgm:t>
        <a:bodyPr/>
        <a:lstStyle/>
        <a:p>
          <a:endParaRPr lang="es-GT"/>
        </a:p>
      </dgm:t>
    </dgm:pt>
    <dgm:pt modelId="{7323760A-CAC8-432D-A020-F77BFA77D735}" type="pres">
      <dgm:prSet presAssocID="{FF27429C-5B6E-468F-AF42-BE9281FF2A23}" presName="linear" presStyleCnt="0">
        <dgm:presLayoutVars>
          <dgm:dir/>
          <dgm:animLvl val="lvl"/>
          <dgm:resizeHandles val="exact"/>
        </dgm:presLayoutVars>
      </dgm:prSet>
      <dgm:spPr/>
    </dgm:pt>
    <dgm:pt modelId="{6E63B848-FDAE-4891-8566-8BE88B653316}" type="pres">
      <dgm:prSet presAssocID="{68DFCB13-F778-41C4-88A6-8A8793BBCF6B}" presName="parentLin" presStyleCnt="0"/>
      <dgm:spPr/>
    </dgm:pt>
    <dgm:pt modelId="{374EA5B0-C6AD-46BF-9645-7F0ED252FE66}" type="pres">
      <dgm:prSet presAssocID="{68DFCB13-F778-41C4-88A6-8A8793BBCF6B}" presName="parentLeftMargin" presStyleLbl="node1" presStyleIdx="0" presStyleCnt="1"/>
      <dgm:spPr/>
    </dgm:pt>
    <dgm:pt modelId="{377E1CD8-0067-463D-AA47-7581C029D7D4}" type="pres">
      <dgm:prSet presAssocID="{68DFCB13-F778-41C4-88A6-8A8793BBCF6B}" presName="parentText" presStyleLbl="node1" presStyleIdx="0" presStyleCnt="1" custScaleX="33793">
        <dgm:presLayoutVars>
          <dgm:chMax val="0"/>
          <dgm:bulletEnabled val="1"/>
        </dgm:presLayoutVars>
      </dgm:prSet>
      <dgm:spPr/>
    </dgm:pt>
    <dgm:pt modelId="{8C78493C-3C9C-4FDF-89DE-DDAC27488222}" type="pres">
      <dgm:prSet presAssocID="{68DFCB13-F778-41C4-88A6-8A8793BBCF6B}" presName="negativeSpace" presStyleCnt="0"/>
      <dgm:spPr/>
    </dgm:pt>
    <dgm:pt modelId="{1111B519-2F2F-4512-95FE-D2216303CCBE}" type="pres">
      <dgm:prSet presAssocID="{68DFCB13-F778-41C4-88A6-8A8793BBCF6B}" presName="childText" presStyleLbl="conFgAcc1" presStyleIdx="0" presStyleCnt="1" custLinFactY="-1552" custLinFactNeighborX="-34956" custLinFactNeighborY="-100000">
        <dgm:presLayoutVars>
          <dgm:bulletEnabled val="1"/>
        </dgm:presLayoutVars>
      </dgm:prSet>
      <dgm:spPr/>
    </dgm:pt>
  </dgm:ptLst>
  <dgm:cxnLst>
    <dgm:cxn modelId="{2B97E307-DDDC-45DC-9CA7-632648FED3B9}" type="presOf" srcId="{01C29C0B-230A-4A2F-B7AB-59E88CC6B709}" destId="{1111B519-2F2F-4512-95FE-D2216303CCBE}" srcOrd="0" destOrd="1" presId="urn:microsoft.com/office/officeart/2005/8/layout/list1"/>
    <dgm:cxn modelId="{E9E7F310-CA62-40CB-950B-C2B09700E887}" type="presOf" srcId="{FF27429C-5B6E-468F-AF42-BE9281FF2A23}" destId="{7323760A-CAC8-432D-A020-F77BFA77D735}" srcOrd="0" destOrd="0" presId="urn:microsoft.com/office/officeart/2005/8/layout/list1"/>
    <dgm:cxn modelId="{9E117C35-F0A3-4260-AE5F-3261DFB7C6EE}" srcId="{FF27429C-5B6E-468F-AF42-BE9281FF2A23}" destId="{68DFCB13-F778-41C4-88A6-8A8793BBCF6B}" srcOrd="0" destOrd="0" parTransId="{55E528F8-5473-447A-B4D6-39039A5FF545}" sibTransId="{18C21111-088F-4CAC-A53E-A2F91EF73064}"/>
    <dgm:cxn modelId="{CF9E1A65-553C-4315-9B4D-6922C5CF2185}" type="presOf" srcId="{68DFCB13-F778-41C4-88A6-8A8793BBCF6B}" destId="{377E1CD8-0067-463D-AA47-7581C029D7D4}" srcOrd="1" destOrd="0" presId="urn:microsoft.com/office/officeart/2005/8/layout/list1"/>
    <dgm:cxn modelId="{047B5950-955A-4E9C-890F-03A957F573F6}" srcId="{68DFCB13-F778-41C4-88A6-8A8793BBCF6B}" destId="{01C29C0B-230A-4A2F-B7AB-59E88CC6B709}" srcOrd="1" destOrd="0" parTransId="{BD00C7DA-D115-4DC8-96E9-9A8238F85148}" sibTransId="{65EB422C-F1D3-4985-A61D-252683A994E5}"/>
    <dgm:cxn modelId="{4D524D71-7747-4CA7-959A-0C1A1AB0D512}" type="presOf" srcId="{2CC71809-35DE-431A-8E89-16EE3CBE8060}" destId="{1111B519-2F2F-4512-95FE-D2216303CCBE}" srcOrd="0" destOrd="0" presId="urn:microsoft.com/office/officeart/2005/8/layout/list1"/>
    <dgm:cxn modelId="{3FDC437B-7FEB-4570-9F57-FAA88171B111}" type="presOf" srcId="{68DFCB13-F778-41C4-88A6-8A8793BBCF6B}" destId="{374EA5B0-C6AD-46BF-9645-7F0ED252FE66}" srcOrd="0" destOrd="0" presId="urn:microsoft.com/office/officeart/2005/8/layout/list1"/>
    <dgm:cxn modelId="{537138B4-325E-4E94-87BB-8E2AEB889CE3}" srcId="{68DFCB13-F778-41C4-88A6-8A8793BBCF6B}" destId="{2CC71809-35DE-431A-8E89-16EE3CBE8060}" srcOrd="0" destOrd="0" parTransId="{FB3419CE-7C14-4ADE-BDF0-3D966782548A}" sibTransId="{8B785DAD-3895-49B6-A969-58089C321C73}"/>
    <dgm:cxn modelId="{4BC55A49-751C-408F-B176-B7C4C361EF7E}" type="presParOf" srcId="{7323760A-CAC8-432D-A020-F77BFA77D735}" destId="{6E63B848-FDAE-4891-8566-8BE88B653316}" srcOrd="0" destOrd="0" presId="urn:microsoft.com/office/officeart/2005/8/layout/list1"/>
    <dgm:cxn modelId="{168861B8-2B13-4D21-A0A3-3DF5AA125F21}" type="presParOf" srcId="{6E63B848-FDAE-4891-8566-8BE88B653316}" destId="{374EA5B0-C6AD-46BF-9645-7F0ED252FE66}" srcOrd="0" destOrd="0" presId="urn:microsoft.com/office/officeart/2005/8/layout/list1"/>
    <dgm:cxn modelId="{FD713377-EE71-47D7-9EBD-4A34BD75CF63}" type="presParOf" srcId="{6E63B848-FDAE-4891-8566-8BE88B653316}" destId="{377E1CD8-0067-463D-AA47-7581C029D7D4}" srcOrd="1" destOrd="0" presId="urn:microsoft.com/office/officeart/2005/8/layout/list1"/>
    <dgm:cxn modelId="{855C1ABF-EE0E-4368-AAF2-7D3585E239A5}" type="presParOf" srcId="{7323760A-CAC8-432D-A020-F77BFA77D735}" destId="{8C78493C-3C9C-4FDF-89DE-DDAC27488222}" srcOrd="1" destOrd="0" presId="urn:microsoft.com/office/officeart/2005/8/layout/list1"/>
    <dgm:cxn modelId="{680373E2-88CE-4642-9587-481CCEFD2578}" type="presParOf" srcId="{7323760A-CAC8-432D-A020-F77BFA77D735}" destId="{1111B519-2F2F-4512-95FE-D2216303CCBE}" srcOrd="2" destOrd="0" presId="urn:microsoft.com/office/officeart/2005/8/layout/list1"/>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FF27429C-5B6E-468F-AF42-BE9281FF2A23}" type="doc">
      <dgm:prSet loTypeId="urn:microsoft.com/office/officeart/2005/8/layout/list1" loCatId="list" qsTypeId="urn:microsoft.com/office/officeart/2005/8/quickstyle/3d2" qsCatId="3D" csTypeId="urn:microsoft.com/office/officeart/2005/8/colors/accent1_2" csCatId="accent1" phldr="1"/>
      <dgm:spPr/>
      <dgm:t>
        <a:bodyPr/>
        <a:lstStyle/>
        <a:p>
          <a:endParaRPr lang="en-US"/>
        </a:p>
      </dgm:t>
    </dgm:pt>
    <dgm:pt modelId="{68DFCB13-F778-41C4-88A6-8A8793BBCF6B}">
      <dgm:prSet phldrT="[Texto]" custT="1"/>
      <dgm:spPr/>
      <dgm:t>
        <a:bodyPr/>
        <a:lstStyle/>
        <a:p>
          <a:r>
            <a:rPr lang="en-US" sz="1000">
              <a:latin typeface="Times New Roman" panose="02020603050405020304" pitchFamily="18" charset="0"/>
              <a:cs typeface="Times New Roman" panose="02020603050405020304" pitchFamily="18" charset="0"/>
            </a:rPr>
            <a:t>Nota Informativa</a:t>
          </a:r>
        </a:p>
      </dgm:t>
    </dgm:pt>
    <dgm:pt modelId="{55E528F8-5473-447A-B4D6-39039A5FF545}" type="parTrans" cxnId="{9E117C35-F0A3-4260-AE5F-3261DFB7C6EE}">
      <dgm:prSet/>
      <dgm:spPr/>
      <dgm:t>
        <a:bodyPr/>
        <a:lstStyle/>
        <a:p>
          <a:endParaRPr lang="en-US" sz="800">
            <a:latin typeface="Times New Roman" panose="02020603050405020304" pitchFamily="18" charset="0"/>
            <a:cs typeface="Times New Roman" panose="02020603050405020304" pitchFamily="18" charset="0"/>
          </a:endParaRPr>
        </a:p>
      </dgm:t>
    </dgm:pt>
    <dgm:pt modelId="{18C21111-088F-4CAC-A53E-A2F91EF73064}" type="sibTrans" cxnId="{9E117C35-F0A3-4260-AE5F-3261DFB7C6EE}">
      <dgm:prSet/>
      <dgm:spPr/>
      <dgm:t>
        <a:bodyPr/>
        <a:lstStyle/>
        <a:p>
          <a:endParaRPr lang="en-US" sz="800">
            <a:latin typeface="Times New Roman" panose="02020603050405020304" pitchFamily="18" charset="0"/>
            <a:cs typeface="Times New Roman" panose="02020603050405020304" pitchFamily="18" charset="0"/>
          </a:endParaRPr>
        </a:p>
      </dgm:t>
    </dgm:pt>
    <dgm:pt modelId="{01C29C0B-230A-4A2F-B7AB-59E88CC6B709}">
      <dgm:prSet phldrT="[Texto]" custT="1"/>
      <dgm:spPr/>
      <dgm:t>
        <a:bodyPr/>
        <a:lstStyle/>
        <a:p>
          <a:pPr algn="just"/>
          <a:r>
            <a:rPr lang="en-US" sz="1000" b="0">
              <a:latin typeface="Times New Roman" panose="02020603050405020304" pitchFamily="18" charset="0"/>
              <a:cs typeface="Times New Roman" panose="02020603050405020304" pitchFamily="18" charset="0"/>
            </a:rPr>
            <a:t>Una transacción es un flujo económico que consiste en una interacción entre unidades institucionales </a:t>
          </a:r>
          <a:r>
            <a:rPr lang="en-US" sz="1000" b="1">
              <a:latin typeface="Times New Roman" panose="02020603050405020304" pitchFamily="18" charset="0"/>
              <a:cs typeface="Times New Roman" panose="02020603050405020304" pitchFamily="18" charset="0"/>
            </a:rPr>
            <a:t>por mutuo acuerdo o mediante la aplicación de la ley.... (MEFP 2014)</a:t>
          </a:r>
          <a:r>
            <a:rPr lang="en-US" sz="1000" b="0">
              <a:latin typeface="Times New Roman" panose="02020603050405020304" pitchFamily="18" charset="0"/>
              <a:cs typeface="Times New Roman" panose="02020603050405020304" pitchFamily="18" charset="0"/>
            </a:rPr>
            <a:t>. </a:t>
          </a:r>
          <a:r>
            <a:rPr lang="en-US" sz="1000" b="1">
              <a:latin typeface="Times New Roman" panose="02020603050405020304" pitchFamily="18" charset="0"/>
              <a:cs typeface="Times New Roman" panose="02020603050405020304" pitchFamily="18" charset="0"/>
            </a:rPr>
            <a:t>Las transacciones en activos y pasivos no generan cambios en el patrimonio neto.</a:t>
          </a:r>
        </a:p>
      </dgm:t>
    </dgm:pt>
    <dgm:pt modelId="{BD00C7DA-D115-4DC8-96E9-9A8238F85148}" type="parTrans" cxnId="{047B5950-955A-4E9C-890F-03A957F573F6}">
      <dgm:prSet/>
      <dgm:spPr/>
      <dgm:t>
        <a:bodyPr/>
        <a:lstStyle/>
        <a:p>
          <a:endParaRPr lang="en-US" sz="800">
            <a:latin typeface="Times New Roman" panose="02020603050405020304" pitchFamily="18" charset="0"/>
            <a:cs typeface="Times New Roman" panose="02020603050405020304" pitchFamily="18" charset="0"/>
          </a:endParaRPr>
        </a:p>
      </dgm:t>
    </dgm:pt>
    <dgm:pt modelId="{65EB422C-F1D3-4985-A61D-252683A994E5}" type="sibTrans" cxnId="{047B5950-955A-4E9C-890F-03A957F573F6}">
      <dgm:prSet/>
      <dgm:spPr/>
      <dgm:t>
        <a:bodyPr/>
        <a:lstStyle/>
        <a:p>
          <a:endParaRPr lang="en-US" sz="800">
            <a:latin typeface="Times New Roman" panose="02020603050405020304" pitchFamily="18" charset="0"/>
            <a:cs typeface="Times New Roman" panose="02020603050405020304" pitchFamily="18" charset="0"/>
          </a:endParaRPr>
        </a:p>
      </dgm:t>
    </dgm:pt>
    <dgm:pt modelId="{7323760A-CAC8-432D-A020-F77BFA77D735}" type="pres">
      <dgm:prSet presAssocID="{FF27429C-5B6E-468F-AF42-BE9281FF2A23}" presName="linear" presStyleCnt="0">
        <dgm:presLayoutVars>
          <dgm:dir/>
          <dgm:animLvl val="lvl"/>
          <dgm:resizeHandles val="exact"/>
        </dgm:presLayoutVars>
      </dgm:prSet>
      <dgm:spPr/>
    </dgm:pt>
    <dgm:pt modelId="{6E63B848-FDAE-4891-8566-8BE88B653316}" type="pres">
      <dgm:prSet presAssocID="{68DFCB13-F778-41C4-88A6-8A8793BBCF6B}" presName="parentLin" presStyleCnt="0"/>
      <dgm:spPr/>
    </dgm:pt>
    <dgm:pt modelId="{374EA5B0-C6AD-46BF-9645-7F0ED252FE66}" type="pres">
      <dgm:prSet presAssocID="{68DFCB13-F778-41C4-88A6-8A8793BBCF6B}" presName="parentLeftMargin" presStyleLbl="node1" presStyleIdx="0" presStyleCnt="1"/>
      <dgm:spPr/>
    </dgm:pt>
    <dgm:pt modelId="{377E1CD8-0067-463D-AA47-7581C029D7D4}" type="pres">
      <dgm:prSet presAssocID="{68DFCB13-F778-41C4-88A6-8A8793BBCF6B}" presName="parentText" presStyleLbl="node1" presStyleIdx="0" presStyleCnt="1" custScaleX="33793">
        <dgm:presLayoutVars>
          <dgm:chMax val="0"/>
          <dgm:bulletEnabled val="1"/>
        </dgm:presLayoutVars>
      </dgm:prSet>
      <dgm:spPr/>
    </dgm:pt>
    <dgm:pt modelId="{8C78493C-3C9C-4FDF-89DE-DDAC27488222}" type="pres">
      <dgm:prSet presAssocID="{68DFCB13-F778-41C4-88A6-8A8793BBCF6B}" presName="negativeSpace" presStyleCnt="0"/>
      <dgm:spPr/>
    </dgm:pt>
    <dgm:pt modelId="{1111B519-2F2F-4512-95FE-D2216303CCBE}" type="pres">
      <dgm:prSet presAssocID="{68DFCB13-F778-41C4-88A6-8A8793BBCF6B}" presName="childText" presStyleLbl="conFgAcc1" presStyleIdx="0" presStyleCnt="1">
        <dgm:presLayoutVars>
          <dgm:bulletEnabled val="1"/>
        </dgm:presLayoutVars>
      </dgm:prSet>
      <dgm:spPr/>
    </dgm:pt>
  </dgm:ptLst>
  <dgm:cxnLst>
    <dgm:cxn modelId="{2B97E307-DDDC-45DC-9CA7-632648FED3B9}" type="presOf" srcId="{01C29C0B-230A-4A2F-B7AB-59E88CC6B709}" destId="{1111B519-2F2F-4512-95FE-D2216303CCBE}" srcOrd="0" destOrd="0" presId="urn:microsoft.com/office/officeart/2005/8/layout/list1"/>
    <dgm:cxn modelId="{E9E7F310-CA62-40CB-950B-C2B09700E887}" type="presOf" srcId="{FF27429C-5B6E-468F-AF42-BE9281FF2A23}" destId="{7323760A-CAC8-432D-A020-F77BFA77D735}" srcOrd="0" destOrd="0" presId="urn:microsoft.com/office/officeart/2005/8/layout/list1"/>
    <dgm:cxn modelId="{9E117C35-F0A3-4260-AE5F-3261DFB7C6EE}" srcId="{FF27429C-5B6E-468F-AF42-BE9281FF2A23}" destId="{68DFCB13-F778-41C4-88A6-8A8793BBCF6B}" srcOrd="0" destOrd="0" parTransId="{55E528F8-5473-447A-B4D6-39039A5FF545}" sibTransId="{18C21111-088F-4CAC-A53E-A2F91EF73064}"/>
    <dgm:cxn modelId="{CF9E1A65-553C-4315-9B4D-6922C5CF2185}" type="presOf" srcId="{68DFCB13-F778-41C4-88A6-8A8793BBCF6B}" destId="{377E1CD8-0067-463D-AA47-7581C029D7D4}" srcOrd="1" destOrd="0" presId="urn:microsoft.com/office/officeart/2005/8/layout/list1"/>
    <dgm:cxn modelId="{047B5950-955A-4E9C-890F-03A957F573F6}" srcId="{68DFCB13-F778-41C4-88A6-8A8793BBCF6B}" destId="{01C29C0B-230A-4A2F-B7AB-59E88CC6B709}" srcOrd="0" destOrd="0" parTransId="{BD00C7DA-D115-4DC8-96E9-9A8238F85148}" sibTransId="{65EB422C-F1D3-4985-A61D-252683A994E5}"/>
    <dgm:cxn modelId="{3FDC437B-7FEB-4570-9F57-FAA88171B111}" type="presOf" srcId="{68DFCB13-F778-41C4-88A6-8A8793BBCF6B}" destId="{374EA5B0-C6AD-46BF-9645-7F0ED252FE66}" srcOrd="0" destOrd="0" presId="urn:microsoft.com/office/officeart/2005/8/layout/list1"/>
    <dgm:cxn modelId="{4BC55A49-751C-408F-B176-B7C4C361EF7E}" type="presParOf" srcId="{7323760A-CAC8-432D-A020-F77BFA77D735}" destId="{6E63B848-FDAE-4891-8566-8BE88B653316}" srcOrd="0" destOrd="0" presId="urn:microsoft.com/office/officeart/2005/8/layout/list1"/>
    <dgm:cxn modelId="{168861B8-2B13-4D21-A0A3-3DF5AA125F21}" type="presParOf" srcId="{6E63B848-FDAE-4891-8566-8BE88B653316}" destId="{374EA5B0-C6AD-46BF-9645-7F0ED252FE66}" srcOrd="0" destOrd="0" presId="urn:microsoft.com/office/officeart/2005/8/layout/list1"/>
    <dgm:cxn modelId="{FD713377-EE71-47D7-9EBD-4A34BD75CF63}" type="presParOf" srcId="{6E63B848-FDAE-4891-8566-8BE88B653316}" destId="{377E1CD8-0067-463D-AA47-7581C029D7D4}" srcOrd="1" destOrd="0" presId="urn:microsoft.com/office/officeart/2005/8/layout/list1"/>
    <dgm:cxn modelId="{855C1ABF-EE0E-4368-AAF2-7D3585E239A5}" type="presParOf" srcId="{7323760A-CAC8-432D-A020-F77BFA77D735}" destId="{8C78493C-3C9C-4FDF-89DE-DDAC27488222}" srcOrd="1" destOrd="0" presId="urn:microsoft.com/office/officeart/2005/8/layout/list1"/>
    <dgm:cxn modelId="{680373E2-88CE-4642-9587-481CCEFD2578}" type="presParOf" srcId="{7323760A-CAC8-432D-A020-F77BFA77D735}" destId="{1111B519-2F2F-4512-95FE-D2216303CCBE}" srcOrd="2" destOrd="0" presId="urn:microsoft.com/office/officeart/2005/8/layout/list1"/>
  </dgm:cxnLst>
  <dgm:bg/>
  <dgm:whole/>
  <dgm:extLst>
    <a:ext uri="http://schemas.microsoft.com/office/drawing/2008/diagram">
      <dsp:dataModelExt xmlns:dsp="http://schemas.microsoft.com/office/drawing/2008/diagram" relId="rId32"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FF27429C-5B6E-468F-AF42-BE9281FF2A23}" type="doc">
      <dgm:prSet loTypeId="urn:microsoft.com/office/officeart/2005/8/layout/list1" loCatId="list" qsTypeId="urn:microsoft.com/office/officeart/2005/8/quickstyle/3d2" qsCatId="3D" csTypeId="urn:microsoft.com/office/officeart/2005/8/colors/accent1_2" csCatId="accent1" phldr="1"/>
      <dgm:spPr/>
      <dgm:t>
        <a:bodyPr/>
        <a:lstStyle/>
        <a:p>
          <a:endParaRPr lang="en-US"/>
        </a:p>
      </dgm:t>
    </dgm:pt>
    <dgm:pt modelId="{68DFCB13-F778-41C4-88A6-8A8793BBCF6B}">
      <dgm:prSet phldrT="[Texto]" custT="1"/>
      <dgm:spPr/>
      <dgm:t>
        <a:bodyPr/>
        <a:lstStyle/>
        <a:p>
          <a:r>
            <a:rPr lang="en-US" sz="1000">
              <a:latin typeface="Times New Roman" panose="02020603050405020304" pitchFamily="18" charset="0"/>
              <a:cs typeface="Times New Roman" panose="02020603050405020304" pitchFamily="18" charset="0"/>
            </a:rPr>
            <a:t>Nota Informativa</a:t>
          </a:r>
        </a:p>
      </dgm:t>
    </dgm:pt>
    <dgm:pt modelId="{55E528F8-5473-447A-B4D6-39039A5FF545}" type="parTrans" cxnId="{9E117C35-F0A3-4260-AE5F-3261DFB7C6EE}">
      <dgm:prSet/>
      <dgm:spPr/>
      <dgm:t>
        <a:bodyPr/>
        <a:lstStyle/>
        <a:p>
          <a:endParaRPr lang="en-US" sz="800">
            <a:latin typeface="Times New Roman" panose="02020603050405020304" pitchFamily="18" charset="0"/>
            <a:cs typeface="Times New Roman" panose="02020603050405020304" pitchFamily="18" charset="0"/>
          </a:endParaRPr>
        </a:p>
      </dgm:t>
    </dgm:pt>
    <dgm:pt modelId="{18C21111-088F-4CAC-A53E-A2F91EF73064}" type="sibTrans" cxnId="{9E117C35-F0A3-4260-AE5F-3261DFB7C6EE}">
      <dgm:prSet/>
      <dgm:spPr/>
      <dgm:t>
        <a:bodyPr/>
        <a:lstStyle/>
        <a:p>
          <a:endParaRPr lang="en-US" sz="800">
            <a:latin typeface="Times New Roman" panose="02020603050405020304" pitchFamily="18" charset="0"/>
            <a:cs typeface="Times New Roman" panose="02020603050405020304" pitchFamily="18" charset="0"/>
          </a:endParaRPr>
        </a:p>
      </dgm:t>
    </dgm:pt>
    <dgm:pt modelId="{01C29C0B-230A-4A2F-B7AB-59E88CC6B709}">
      <dgm:prSet phldrT="[Texto]" custT="1"/>
      <dgm:spPr/>
      <dgm:t>
        <a:bodyPr/>
        <a:lstStyle/>
        <a:p>
          <a:pPr algn="just"/>
          <a:r>
            <a:rPr lang="en-US" sz="1000">
              <a:latin typeface="Times New Roman" panose="02020603050405020304" pitchFamily="18" charset="0"/>
              <a:cs typeface="Times New Roman" panose="02020603050405020304" pitchFamily="18" charset="0"/>
            </a:rPr>
            <a:t>Las "Erogaciones" poseen cierta similitud conceptual a lo que en la metodología nacional se entiende por gasto, sin embargo, poseen algunas diferencias leves. </a:t>
          </a:r>
          <a:r>
            <a:rPr lang="en-US" sz="1000" b="1">
              <a:latin typeface="Times New Roman" panose="02020603050405020304" pitchFamily="18" charset="0"/>
              <a:cs typeface="Times New Roman" panose="02020603050405020304" pitchFamily="18" charset="0"/>
            </a:rPr>
            <a:t>En </a:t>
          </a:r>
          <a:r>
            <a:rPr lang="en-US" sz="1000" b="1">
              <a:solidFill>
                <a:sysClr val="windowText" lastClr="000000"/>
              </a:solidFill>
              <a:latin typeface="Times New Roman" panose="02020603050405020304" pitchFamily="18" charset="0"/>
              <a:cs typeface="Times New Roman" panose="02020603050405020304" pitchFamily="18" charset="0"/>
            </a:rPr>
            <a:t>los </a:t>
          </a:r>
          <a:r>
            <a:rPr lang="en-US" sz="1000" b="1" strike="noStrike">
              <a:solidFill>
                <a:sysClr val="windowText" lastClr="000000"/>
              </a:solidFill>
              <a:latin typeface="Times New Roman" panose="02020603050405020304" pitchFamily="18" charset="0"/>
              <a:cs typeface="Times New Roman" panose="02020603050405020304" pitchFamily="18" charset="0"/>
            </a:rPr>
            <a:t>estándares</a:t>
          </a:r>
          <a:r>
            <a:rPr lang="en-US" sz="1000" b="1">
              <a:solidFill>
                <a:sysClr val="windowText" lastClr="000000"/>
              </a:solidFill>
              <a:latin typeface="Times New Roman" panose="02020603050405020304" pitchFamily="18" charset="0"/>
              <a:cs typeface="Times New Roman" panose="02020603050405020304" pitchFamily="18" charset="0"/>
            </a:rPr>
            <a:t> internacionales, una erogación es la suma de los gastos y la inversión neta en activos </a:t>
          </a:r>
          <a:r>
            <a:rPr lang="en-US" sz="1000" b="1">
              <a:latin typeface="Times New Roman" panose="02020603050405020304" pitchFamily="18" charset="0"/>
              <a:cs typeface="Times New Roman" panose="02020603050405020304" pitchFamily="18" charset="0"/>
            </a:rPr>
            <a:t>no financieros (MEFP 2014) </a:t>
          </a:r>
        </a:p>
      </dgm:t>
    </dgm:pt>
    <dgm:pt modelId="{BD00C7DA-D115-4DC8-96E9-9A8238F85148}" type="parTrans" cxnId="{047B5950-955A-4E9C-890F-03A957F573F6}">
      <dgm:prSet/>
      <dgm:spPr/>
      <dgm:t>
        <a:bodyPr/>
        <a:lstStyle/>
        <a:p>
          <a:endParaRPr lang="en-US" sz="800">
            <a:latin typeface="Times New Roman" panose="02020603050405020304" pitchFamily="18" charset="0"/>
            <a:cs typeface="Times New Roman" panose="02020603050405020304" pitchFamily="18" charset="0"/>
          </a:endParaRPr>
        </a:p>
      </dgm:t>
    </dgm:pt>
    <dgm:pt modelId="{65EB422C-F1D3-4985-A61D-252683A994E5}" type="sibTrans" cxnId="{047B5950-955A-4E9C-890F-03A957F573F6}">
      <dgm:prSet/>
      <dgm:spPr/>
      <dgm:t>
        <a:bodyPr/>
        <a:lstStyle/>
        <a:p>
          <a:endParaRPr lang="en-US" sz="800">
            <a:latin typeface="Times New Roman" panose="02020603050405020304" pitchFamily="18" charset="0"/>
            <a:cs typeface="Times New Roman" panose="02020603050405020304" pitchFamily="18" charset="0"/>
          </a:endParaRPr>
        </a:p>
      </dgm:t>
    </dgm:pt>
    <dgm:pt modelId="{7323760A-CAC8-432D-A020-F77BFA77D735}" type="pres">
      <dgm:prSet presAssocID="{FF27429C-5B6E-468F-AF42-BE9281FF2A23}" presName="linear" presStyleCnt="0">
        <dgm:presLayoutVars>
          <dgm:dir/>
          <dgm:animLvl val="lvl"/>
          <dgm:resizeHandles val="exact"/>
        </dgm:presLayoutVars>
      </dgm:prSet>
      <dgm:spPr/>
    </dgm:pt>
    <dgm:pt modelId="{6E63B848-FDAE-4891-8566-8BE88B653316}" type="pres">
      <dgm:prSet presAssocID="{68DFCB13-F778-41C4-88A6-8A8793BBCF6B}" presName="parentLin" presStyleCnt="0"/>
      <dgm:spPr/>
    </dgm:pt>
    <dgm:pt modelId="{374EA5B0-C6AD-46BF-9645-7F0ED252FE66}" type="pres">
      <dgm:prSet presAssocID="{68DFCB13-F778-41C4-88A6-8A8793BBCF6B}" presName="parentLeftMargin" presStyleLbl="node1" presStyleIdx="0" presStyleCnt="1"/>
      <dgm:spPr/>
    </dgm:pt>
    <dgm:pt modelId="{377E1CD8-0067-463D-AA47-7581C029D7D4}" type="pres">
      <dgm:prSet presAssocID="{68DFCB13-F778-41C4-88A6-8A8793BBCF6B}" presName="parentText" presStyleLbl="node1" presStyleIdx="0" presStyleCnt="1" custScaleX="33793">
        <dgm:presLayoutVars>
          <dgm:chMax val="0"/>
          <dgm:bulletEnabled val="1"/>
        </dgm:presLayoutVars>
      </dgm:prSet>
      <dgm:spPr/>
    </dgm:pt>
    <dgm:pt modelId="{8C78493C-3C9C-4FDF-89DE-DDAC27488222}" type="pres">
      <dgm:prSet presAssocID="{68DFCB13-F778-41C4-88A6-8A8793BBCF6B}" presName="negativeSpace" presStyleCnt="0"/>
      <dgm:spPr/>
    </dgm:pt>
    <dgm:pt modelId="{1111B519-2F2F-4512-95FE-D2216303CCBE}" type="pres">
      <dgm:prSet presAssocID="{68DFCB13-F778-41C4-88A6-8A8793BBCF6B}" presName="childText" presStyleLbl="conFgAcc1" presStyleIdx="0" presStyleCnt="1">
        <dgm:presLayoutVars>
          <dgm:bulletEnabled val="1"/>
        </dgm:presLayoutVars>
      </dgm:prSet>
      <dgm:spPr/>
    </dgm:pt>
  </dgm:ptLst>
  <dgm:cxnLst>
    <dgm:cxn modelId="{2B97E307-DDDC-45DC-9CA7-632648FED3B9}" type="presOf" srcId="{01C29C0B-230A-4A2F-B7AB-59E88CC6B709}" destId="{1111B519-2F2F-4512-95FE-D2216303CCBE}" srcOrd="0" destOrd="0" presId="urn:microsoft.com/office/officeart/2005/8/layout/list1"/>
    <dgm:cxn modelId="{E9E7F310-CA62-40CB-950B-C2B09700E887}" type="presOf" srcId="{FF27429C-5B6E-468F-AF42-BE9281FF2A23}" destId="{7323760A-CAC8-432D-A020-F77BFA77D735}" srcOrd="0" destOrd="0" presId="urn:microsoft.com/office/officeart/2005/8/layout/list1"/>
    <dgm:cxn modelId="{9E117C35-F0A3-4260-AE5F-3261DFB7C6EE}" srcId="{FF27429C-5B6E-468F-AF42-BE9281FF2A23}" destId="{68DFCB13-F778-41C4-88A6-8A8793BBCF6B}" srcOrd="0" destOrd="0" parTransId="{55E528F8-5473-447A-B4D6-39039A5FF545}" sibTransId="{18C21111-088F-4CAC-A53E-A2F91EF73064}"/>
    <dgm:cxn modelId="{CF9E1A65-553C-4315-9B4D-6922C5CF2185}" type="presOf" srcId="{68DFCB13-F778-41C4-88A6-8A8793BBCF6B}" destId="{377E1CD8-0067-463D-AA47-7581C029D7D4}" srcOrd="1" destOrd="0" presId="urn:microsoft.com/office/officeart/2005/8/layout/list1"/>
    <dgm:cxn modelId="{047B5950-955A-4E9C-890F-03A957F573F6}" srcId="{68DFCB13-F778-41C4-88A6-8A8793BBCF6B}" destId="{01C29C0B-230A-4A2F-B7AB-59E88CC6B709}" srcOrd="0" destOrd="0" parTransId="{BD00C7DA-D115-4DC8-96E9-9A8238F85148}" sibTransId="{65EB422C-F1D3-4985-A61D-252683A994E5}"/>
    <dgm:cxn modelId="{3FDC437B-7FEB-4570-9F57-FAA88171B111}" type="presOf" srcId="{68DFCB13-F778-41C4-88A6-8A8793BBCF6B}" destId="{374EA5B0-C6AD-46BF-9645-7F0ED252FE66}" srcOrd="0" destOrd="0" presId="urn:microsoft.com/office/officeart/2005/8/layout/list1"/>
    <dgm:cxn modelId="{4BC55A49-751C-408F-B176-B7C4C361EF7E}" type="presParOf" srcId="{7323760A-CAC8-432D-A020-F77BFA77D735}" destId="{6E63B848-FDAE-4891-8566-8BE88B653316}" srcOrd="0" destOrd="0" presId="urn:microsoft.com/office/officeart/2005/8/layout/list1"/>
    <dgm:cxn modelId="{168861B8-2B13-4D21-A0A3-3DF5AA125F21}" type="presParOf" srcId="{6E63B848-FDAE-4891-8566-8BE88B653316}" destId="{374EA5B0-C6AD-46BF-9645-7F0ED252FE66}" srcOrd="0" destOrd="0" presId="urn:microsoft.com/office/officeart/2005/8/layout/list1"/>
    <dgm:cxn modelId="{FD713377-EE71-47D7-9EBD-4A34BD75CF63}" type="presParOf" srcId="{6E63B848-FDAE-4891-8566-8BE88B653316}" destId="{377E1CD8-0067-463D-AA47-7581C029D7D4}" srcOrd="1" destOrd="0" presId="urn:microsoft.com/office/officeart/2005/8/layout/list1"/>
    <dgm:cxn modelId="{855C1ABF-EE0E-4368-AAF2-7D3585E239A5}" type="presParOf" srcId="{7323760A-CAC8-432D-A020-F77BFA77D735}" destId="{8C78493C-3C9C-4FDF-89DE-DDAC27488222}" srcOrd="1" destOrd="0" presId="urn:microsoft.com/office/officeart/2005/8/layout/list1"/>
    <dgm:cxn modelId="{680373E2-88CE-4642-9587-481CCEFD2578}" type="presParOf" srcId="{7323760A-CAC8-432D-A020-F77BFA77D735}" destId="{1111B519-2F2F-4512-95FE-D2216303CCBE}" srcOrd="2" destOrd="0" presId="urn:microsoft.com/office/officeart/2005/8/layout/list1"/>
  </dgm:cxnLst>
  <dgm:bg/>
  <dgm:whole/>
  <dgm:extLst>
    <a:ext uri="http://schemas.microsoft.com/office/drawing/2008/diagram">
      <dsp:dataModelExt xmlns:dsp="http://schemas.microsoft.com/office/drawing/2008/diagram" relId="rId42"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FF27429C-5B6E-468F-AF42-BE9281FF2A23}" type="doc">
      <dgm:prSet loTypeId="urn:microsoft.com/office/officeart/2005/8/layout/list1" loCatId="list" qsTypeId="urn:microsoft.com/office/officeart/2005/8/quickstyle/3d2" qsCatId="3D" csTypeId="urn:microsoft.com/office/officeart/2005/8/colors/accent1_2" csCatId="accent1" phldr="1"/>
      <dgm:spPr/>
      <dgm:t>
        <a:bodyPr/>
        <a:lstStyle/>
        <a:p>
          <a:endParaRPr lang="en-US"/>
        </a:p>
      </dgm:t>
    </dgm:pt>
    <dgm:pt modelId="{68DFCB13-F778-41C4-88A6-8A8793BBCF6B}">
      <dgm:prSet phldrT="[Texto]" custT="1"/>
      <dgm:spPr/>
      <dgm:t>
        <a:bodyPr/>
        <a:lstStyle/>
        <a:p>
          <a:r>
            <a:rPr lang="en-US" sz="1000">
              <a:latin typeface="Times New Roman" panose="02020603050405020304" pitchFamily="18" charset="0"/>
              <a:cs typeface="Times New Roman" panose="02020603050405020304" pitchFamily="18" charset="0"/>
            </a:rPr>
            <a:t>Nota Informativa</a:t>
          </a:r>
        </a:p>
      </dgm:t>
    </dgm:pt>
    <dgm:pt modelId="{55E528F8-5473-447A-B4D6-39039A5FF545}" type="parTrans" cxnId="{9E117C35-F0A3-4260-AE5F-3261DFB7C6EE}">
      <dgm:prSet/>
      <dgm:spPr/>
      <dgm:t>
        <a:bodyPr/>
        <a:lstStyle/>
        <a:p>
          <a:endParaRPr lang="en-US" sz="800">
            <a:latin typeface="Times New Roman" panose="02020603050405020304" pitchFamily="18" charset="0"/>
            <a:cs typeface="Times New Roman" panose="02020603050405020304" pitchFamily="18" charset="0"/>
          </a:endParaRPr>
        </a:p>
      </dgm:t>
    </dgm:pt>
    <dgm:pt modelId="{18C21111-088F-4CAC-A53E-A2F91EF73064}" type="sibTrans" cxnId="{9E117C35-F0A3-4260-AE5F-3261DFB7C6EE}">
      <dgm:prSet/>
      <dgm:spPr/>
      <dgm:t>
        <a:bodyPr/>
        <a:lstStyle/>
        <a:p>
          <a:endParaRPr lang="en-US" sz="800">
            <a:latin typeface="Times New Roman" panose="02020603050405020304" pitchFamily="18" charset="0"/>
            <a:cs typeface="Times New Roman" panose="02020603050405020304" pitchFamily="18" charset="0"/>
          </a:endParaRPr>
        </a:p>
      </dgm:t>
    </dgm:pt>
    <dgm:pt modelId="{01C29C0B-230A-4A2F-B7AB-59E88CC6B709}">
      <dgm:prSet phldrT="[Texto]" custT="1"/>
      <dgm:spPr/>
      <dgm:t>
        <a:bodyPr/>
        <a:lstStyle/>
        <a:p>
          <a:pPr algn="just"/>
          <a:r>
            <a:rPr lang="en-US" sz="1000">
              <a:latin typeface="Times New Roman" panose="02020603050405020304" pitchFamily="18" charset="0"/>
              <a:cs typeface="Times New Roman" panose="02020603050405020304" pitchFamily="18" charset="0"/>
            </a:rPr>
            <a:t>Existe una diferencia importante entre el concepto de  resultado fiscal con metodología nacional y los </a:t>
          </a:r>
          <a:r>
            <a:rPr lang="en-US" sz="1000">
              <a:solidFill>
                <a:sysClr val="windowText" lastClr="000000"/>
              </a:solidFill>
              <a:latin typeface="Times New Roman" panose="02020603050405020304" pitchFamily="18" charset="0"/>
              <a:cs typeface="Times New Roman" panose="02020603050405020304" pitchFamily="18" charset="0"/>
            </a:rPr>
            <a:t>estándares internacionales, lo cual </a:t>
          </a:r>
          <a:r>
            <a:rPr lang="en-US" sz="1000">
              <a:latin typeface="Times New Roman" panose="02020603050405020304" pitchFamily="18" charset="0"/>
              <a:cs typeface="Times New Roman" panose="02020603050405020304" pitchFamily="18" charset="0"/>
            </a:rPr>
            <a:t>hace que estos no sean perfectamente comparables. </a:t>
          </a:r>
          <a:r>
            <a:rPr lang="en-US" sz="1000" b="1">
              <a:latin typeface="Times New Roman" panose="02020603050405020304" pitchFamily="18" charset="0"/>
              <a:cs typeface="Times New Roman" panose="02020603050405020304" pitchFamily="18" charset="0"/>
            </a:rPr>
            <a:t>En los </a:t>
          </a:r>
          <a:r>
            <a:rPr lang="en-US" sz="1000" b="1" strike="noStrike">
              <a:solidFill>
                <a:sysClr val="windowText" lastClr="000000"/>
              </a:solidFill>
              <a:latin typeface="Times New Roman" panose="02020603050405020304" pitchFamily="18" charset="0"/>
              <a:cs typeface="Times New Roman" panose="02020603050405020304" pitchFamily="18" charset="0"/>
            </a:rPr>
            <a:t>estándares</a:t>
          </a:r>
          <a:r>
            <a:rPr lang="en-US" sz="1000" b="1">
              <a:latin typeface="Times New Roman" panose="02020603050405020304" pitchFamily="18" charset="0"/>
              <a:cs typeface="Times New Roman" panose="02020603050405020304" pitchFamily="18" charset="0"/>
            </a:rPr>
            <a:t> internacionales existen los siguientes indicadores fiscales:</a:t>
          </a:r>
        </a:p>
      </dgm:t>
    </dgm:pt>
    <dgm:pt modelId="{BD00C7DA-D115-4DC8-96E9-9A8238F85148}" type="parTrans" cxnId="{047B5950-955A-4E9C-890F-03A957F573F6}">
      <dgm:prSet/>
      <dgm:spPr/>
      <dgm:t>
        <a:bodyPr/>
        <a:lstStyle/>
        <a:p>
          <a:endParaRPr lang="en-US" sz="800">
            <a:latin typeface="Times New Roman" panose="02020603050405020304" pitchFamily="18" charset="0"/>
            <a:cs typeface="Times New Roman" panose="02020603050405020304" pitchFamily="18" charset="0"/>
          </a:endParaRPr>
        </a:p>
      </dgm:t>
    </dgm:pt>
    <dgm:pt modelId="{65EB422C-F1D3-4985-A61D-252683A994E5}" type="sibTrans" cxnId="{047B5950-955A-4E9C-890F-03A957F573F6}">
      <dgm:prSet/>
      <dgm:spPr/>
      <dgm:t>
        <a:bodyPr/>
        <a:lstStyle/>
        <a:p>
          <a:endParaRPr lang="en-US" sz="800">
            <a:latin typeface="Times New Roman" panose="02020603050405020304" pitchFamily="18" charset="0"/>
            <a:cs typeface="Times New Roman" panose="02020603050405020304" pitchFamily="18" charset="0"/>
          </a:endParaRPr>
        </a:p>
      </dgm:t>
    </dgm:pt>
    <dgm:pt modelId="{C3D409E7-6B38-4B8B-8222-44C703F58D92}">
      <dgm:prSet phldrT="[Texto]" custT="1"/>
      <dgm:spPr/>
      <dgm:t>
        <a:bodyPr/>
        <a:lstStyle/>
        <a:p>
          <a:pPr algn="just"/>
          <a:r>
            <a:rPr lang="en-US" sz="1000" b="1">
              <a:latin typeface="Times New Roman" panose="02020603050405020304" pitchFamily="18" charset="0"/>
              <a:cs typeface="Times New Roman" panose="02020603050405020304" pitchFamily="18" charset="0"/>
            </a:rPr>
            <a:t> 1.) Resultado Operativo Neto (NOB) = </a:t>
          </a:r>
          <a:r>
            <a:rPr lang="en-US" sz="1000" b="0">
              <a:latin typeface="Times New Roman" panose="02020603050405020304" pitchFamily="18" charset="0"/>
              <a:cs typeface="Times New Roman" panose="02020603050405020304" pitchFamily="18" charset="0"/>
            </a:rPr>
            <a:t>Ingresos - Gastos</a:t>
          </a:r>
        </a:p>
      </dgm:t>
    </dgm:pt>
    <dgm:pt modelId="{35E9F9E2-37BD-42CA-AB3F-4201DA8C5649}" type="parTrans" cxnId="{D2A05A42-79FB-4963-8B17-BF9A6786808F}">
      <dgm:prSet/>
      <dgm:spPr/>
      <dgm:t>
        <a:bodyPr/>
        <a:lstStyle/>
        <a:p>
          <a:endParaRPr lang="en-US"/>
        </a:p>
      </dgm:t>
    </dgm:pt>
    <dgm:pt modelId="{AC2A3F50-B651-4C05-9C8B-A8F890A72D73}" type="sibTrans" cxnId="{D2A05A42-79FB-4963-8B17-BF9A6786808F}">
      <dgm:prSet/>
      <dgm:spPr/>
      <dgm:t>
        <a:bodyPr/>
        <a:lstStyle/>
        <a:p>
          <a:endParaRPr lang="en-US"/>
        </a:p>
      </dgm:t>
    </dgm:pt>
    <dgm:pt modelId="{3CF91B55-1F75-4C87-9C67-A20C9FA05662}">
      <dgm:prSet phldrT="[Texto]" custT="1"/>
      <dgm:spPr/>
      <dgm:t>
        <a:bodyPr/>
        <a:lstStyle/>
        <a:p>
          <a:pPr algn="just"/>
          <a:r>
            <a:rPr lang="en-US" sz="1000" b="1">
              <a:latin typeface="Times New Roman" panose="02020603050405020304" pitchFamily="18" charset="0"/>
              <a:cs typeface="Times New Roman" panose="02020603050405020304" pitchFamily="18" charset="0"/>
            </a:rPr>
            <a:t> 2.) Resultado Operativo Bruto (GOB) = </a:t>
          </a:r>
          <a:r>
            <a:rPr lang="en-US" sz="1000" b="0">
              <a:latin typeface="Times New Roman" panose="02020603050405020304" pitchFamily="18" charset="0"/>
              <a:cs typeface="Times New Roman" panose="02020603050405020304" pitchFamily="18" charset="0"/>
            </a:rPr>
            <a:t>Ingresos - Gastos + Consumo de capital fijo</a:t>
          </a:r>
        </a:p>
      </dgm:t>
    </dgm:pt>
    <dgm:pt modelId="{D8385961-8EAF-45B4-BEDD-9F02F740FFF8}" type="parTrans" cxnId="{3B646E4E-A757-43B0-9D09-BAE2E05E5ACA}">
      <dgm:prSet/>
      <dgm:spPr/>
      <dgm:t>
        <a:bodyPr/>
        <a:lstStyle/>
        <a:p>
          <a:endParaRPr lang="en-US"/>
        </a:p>
      </dgm:t>
    </dgm:pt>
    <dgm:pt modelId="{3B565E79-6F22-4474-B8A9-856B312682A2}" type="sibTrans" cxnId="{3B646E4E-A757-43B0-9D09-BAE2E05E5ACA}">
      <dgm:prSet/>
      <dgm:spPr/>
      <dgm:t>
        <a:bodyPr/>
        <a:lstStyle/>
        <a:p>
          <a:endParaRPr lang="en-US"/>
        </a:p>
      </dgm:t>
    </dgm:pt>
    <dgm:pt modelId="{DDD57492-28E1-4534-8544-AE4C4F54393E}">
      <dgm:prSet phldrT="[Texto]" custT="1"/>
      <dgm:spPr/>
      <dgm:t>
        <a:bodyPr/>
        <a:lstStyle/>
        <a:p>
          <a:pPr algn="just"/>
          <a:r>
            <a:rPr lang="en-US" sz="1000" b="1">
              <a:latin typeface="Times New Roman" panose="02020603050405020304" pitchFamily="18" charset="0"/>
              <a:cs typeface="Times New Roman" panose="02020603050405020304" pitchFamily="18" charset="0"/>
            </a:rPr>
            <a:t> 3.) P</a:t>
          </a:r>
          <a:r>
            <a:rPr lang="en-US" sz="1000" b="1">
              <a:solidFill>
                <a:sysClr val="windowText" lastClr="000000"/>
              </a:solidFill>
              <a:latin typeface="Times New Roman" panose="02020603050405020304" pitchFamily="18" charset="0"/>
              <a:cs typeface="Times New Roman" panose="02020603050405020304" pitchFamily="18" charset="0"/>
            </a:rPr>
            <a:t>réstamo </a:t>
          </a:r>
          <a:r>
            <a:rPr lang="en-US" sz="1000" b="1">
              <a:latin typeface="Times New Roman" panose="02020603050405020304" pitchFamily="18" charset="0"/>
              <a:cs typeface="Times New Roman" panose="02020603050405020304" pitchFamily="18" charset="0"/>
            </a:rPr>
            <a:t>o Endeudamiento Neto (NLB) = </a:t>
          </a:r>
          <a:r>
            <a:rPr lang="en-US" sz="1000" b="0">
              <a:latin typeface="Times New Roman" panose="02020603050405020304" pitchFamily="18" charset="0"/>
              <a:cs typeface="Times New Roman" panose="02020603050405020304" pitchFamily="18" charset="0"/>
            </a:rPr>
            <a:t>NOB - Inversión Neta en Activos no financieros</a:t>
          </a:r>
        </a:p>
      </dgm:t>
    </dgm:pt>
    <dgm:pt modelId="{F4E1C6EE-CD86-4051-8C91-50C764FC2B3C}" type="parTrans" cxnId="{804E552C-050E-4FE3-9A89-FA56FE6F04DB}">
      <dgm:prSet/>
      <dgm:spPr/>
      <dgm:t>
        <a:bodyPr/>
        <a:lstStyle/>
        <a:p>
          <a:endParaRPr lang="en-US"/>
        </a:p>
      </dgm:t>
    </dgm:pt>
    <dgm:pt modelId="{810108D9-3C67-4E9B-A016-62224098F996}" type="sibTrans" cxnId="{804E552C-050E-4FE3-9A89-FA56FE6F04DB}">
      <dgm:prSet/>
      <dgm:spPr/>
      <dgm:t>
        <a:bodyPr/>
        <a:lstStyle/>
        <a:p>
          <a:endParaRPr lang="en-US"/>
        </a:p>
      </dgm:t>
    </dgm:pt>
    <dgm:pt modelId="{B3BD5EE0-8B02-47DD-9A82-259B22A65496}">
      <dgm:prSet phldrT="[Texto]" custT="1"/>
      <dgm:spPr/>
      <dgm:t>
        <a:bodyPr/>
        <a:lstStyle/>
        <a:p>
          <a:pPr algn="l"/>
          <a:endParaRPr lang="en-US" sz="1000" b="1">
            <a:latin typeface="Times New Roman" panose="02020603050405020304" pitchFamily="18" charset="0"/>
            <a:cs typeface="Times New Roman" panose="02020603050405020304" pitchFamily="18" charset="0"/>
          </a:endParaRPr>
        </a:p>
      </dgm:t>
    </dgm:pt>
    <dgm:pt modelId="{C5714091-2FD7-45AB-996F-8D909E729D08}" type="parTrans" cxnId="{46B5D4E3-A1B8-446E-BF94-1D1B608BD025}">
      <dgm:prSet/>
      <dgm:spPr/>
      <dgm:t>
        <a:bodyPr/>
        <a:lstStyle/>
        <a:p>
          <a:endParaRPr lang="en-US"/>
        </a:p>
      </dgm:t>
    </dgm:pt>
    <dgm:pt modelId="{0927F4C2-33AC-47BA-87B1-9849DE2EA647}" type="sibTrans" cxnId="{46B5D4E3-A1B8-446E-BF94-1D1B608BD025}">
      <dgm:prSet/>
      <dgm:spPr/>
      <dgm:t>
        <a:bodyPr/>
        <a:lstStyle/>
        <a:p>
          <a:endParaRPr lang="en-US"/>
        </a:p>
      </dgm:t>
    </dgm:pt>
    <dgm:pt modelId="{8A074394-24C9-4417-B175-5B020C5132EE}">
      <dgm:prSet phldrT="[Texto]" custT="1"/>
      <dgm:spPr/>
      <dgm:t>
        <a:bodyPr/>
        <a:lstStyle/>
        <a:p>
          <a:pPr algn="l"/>
          <a:endParaRPr lang="en-US" sz="1000" b="1">
            <a:latin typeface="Times New Roman" panose="02020603050405020304" pitchFamily="18" charset="0"/>
            <a:cs typeface="Times New Roman" panose="02020603050405020304" pitchFamily="18" charset="0"/>
          </a:endParaRPr>
        </a:p>
      </dgm:t>
    </dgm:pt>
    <dgm:pt modelId="{DCE292B1-DDE6-4D66-AF9B-D8F09CB2C44B}" type="parTrans" cxnId="{DAA46AD6-6800-4619-A2CB-499FD1424CD7}">
      <dgm:prSet/>
      <dgm:spPr/>
      <dgm:t>
        <a:bodyPr/>
        <a:lstStyle/>
        <a:p>
          <a:endParaRPr lang="en-US"/>
        </a:p>
      </dgm:t>
    </dgm:pt>
    <dgm:pt modelId="{BB78CF32-946E-44D8-A2CB-37AAD43DE337}" type="sibTrans" cxnId="{DAA46AD6-6800-4619-A2CB-499FD1424CD7}">
      <dgm:prSet/>
      <dgm:spPr/>
      <dgm:t>
        <a:bodyPr/>
        <a:lstStyle/>
        <a:p>
          <a:endParaRPr lang="en-US"/>
        </a:p>
      </dgm:t>
    </dgm:pt>
    <dgm:pt modelId="{6F8CBEB5-BD00-46A8-8598-53DD15BC0D05}">
      <dgm:prSet phldrT="[Texto]" custT="1"/>
      <dgm:spPr/>
      <dgm:t>
        <a:bodyPr/>
        <a:lstStyle/>
        <a:p>
          <a:pPr algn="just"/>
          <a:r>
            <a:rPr lang="en-US" sz="1000" b="1">
              <a:latin typeface="Times New Roman" panose="02020603050405020304" pitchFamily="18" charset="0"/>
              <a:cs typeface="Times New Roman" panose="02020603050405020304" pitchFamily="18" charset="0"/>
            </a:rPr>
            <a:t>El NOB equivale a las variaciones en el patrimonio neto derivado a transacciones mientras que el NLB también equivale al financiamiento total (MEFP 2014)</a:t>
          </a:r>
        </a:p>
      </dgm:t>
    </dgm:pt>
    <dgm:pt modelId="{A6EB8F4D-3D4D-468C-8830-DEA557649AF4}" type="parTrans" cxnId="{62A354C5-3414-40BA-AD2A-45FD81C86CE9}">
      <dgm:prSet/>
      <dgm:spPr/>
      <dgm:t>
        <a:bodyPr/>
        <a:lstStyle/>
        <a:p>
          <a:endParaRPr lang="en-US"/>
        </a:p>
      </dgm:t>
    </dgm:pt>
    <dgm:pt modelId="{0628C494-8642-43D7-B0AB-7759DCBF2D72}" type="sibTrans" cxnId="{62A354C5-3414-40BA-AD2A-45FD81C86CE9}">
      <dgm:prSet/>
      <dgm:spPr/>
      <dgm:t>
        <a:bodyPr/>
        <a:lstStyle/>
        <a:p>
          <a:endParaRPr lang="en-US"/>
        </a:p>
      </dgm:t>
    </dgm:pt>
    <dgm:pt modelId="{F66DA131-6178-426C-B996-591DEB09B7CB}">
      <dgm:prSet phldrT="[Texto]" custT="1"/>
      <dgm:spPr/>
      <dgm:t>
        <a:bodyPr/>
        <a:lstStyle/>
        <a:p>
          <a:pPr algn="just"/>
          <a:endParaRPr lang="en-US" sz="1000" b="0">
            <a:latin typeface="Times New Roman" panose="02020603050405020304" pitchFamily="18" charset="0"/>
            <a:cs typeface="Times New Roman" panose="02020603050405020304" pitchFamily="18" charset="0"/>
          </a:endParaRPr>
        </a:p>
      </dgm:t>
    </dgm:pt>
    <dgm:pt modelId="{CEF9C5CB-6317-4711-B2DE-3942A095800E}" type="parTrans" cxnId="{85A2A9D1-776F-461B-B5DF-FAD4A3C4D680}">
      <dgm:prSet/>
      <dgm:spPr/>
      <dgm:t>
        <a:bodyPr/>
        <a:lstStyle/>
        <a:p>
          <a:endParaRPr lang="en-US"/>
        </a:p>
      </dgm:t>
    </dgm:pt>
    <dgm:pt modelId="{FC3858C3-5945-430C-BB96-A050D5CEC46F}" type="sibTrans" cxnId="{85A2A9D1-776F-461B-B5DF-FAD4A3C4D680}">
      <dgm:prSet/>
      <dgm:spPr/>
      <dgm:t>
        <a:bodyPr/>
        <a:lstStyle/>
        <a:p>
          <a:endParaRPr lang="en-US"/>
        </a:p>
      </dgm:t>
    </dgm:pt>
    <dgm:pt modelId="{453A4B04-F76E-490B-8F74-F2CEC3B8BB19}">
      <dgm:prSet phldrT="[Texto]" custT="1"/>
      <dgm:spPr/>
      <dgm:t>
        <a:bodyPr/>
        <a:lstStyle/>
        <a:p>
          <a:pPr algn="just"/>
          <a:endParaRPr lang="en-US" sz="1000" b="1">
            <a:latin typeface="Times New Roman" panose="02020603050405020304" pitchFamily="18" charset="0"/>
            <a:cs typeface="Times New Roman" panose="02020603050405020304" pitchFamily="18" charset="0"/>
          </a:endParaRPr>
        </a:p>
      </dgm:t>
    </dgm:pt>
    <dgm:pt modelId="{E8616642-9216-43BC-85CB-23782D39B7D5}" type="parTrans" cxnId="{E97BC17C-ACE4-4BB7-BC2E-2E60E6AEC07C}">
      <dgm:prSet/>
      <dgm:spPr/>
      <dgm:t>
        <a:bodyPr/>
        <a:lstStyle/>
        <a:p>
          <a:endParaRPr lang="es-GT"/>
        </a:p>
      </dgm:t>
    </dgm:pt>
    <dgm:pt modelId="{0C3A3D81-03D4-41F0-9DDD-F21090510B7A}" type="sibTrans" cxnId="{E97BC17C-ACE4-4BB7-BC2E-2E60E6AEC07C}">
      <dgm:prSet/>
      <dgm:spPr/>
      <dgm:t>
        <a:bodyPr/>
        <a:lstStyle/>
        <a:p>
          <a:endParaRPr lang="es-GT"/>
        </a:p>
      </dgm:t>
    </dgm:pt>
    <dgm:pt modelId="{7323760A-CAC8-432D-A020-F77BFA77D735}" type="pres">
      <dgm:prSet presAssocID="{FF27429C-5B6E-468F-AF42-BE9281FF2A23}" presName="linear" presStyleCnt="0">
        <dgm:presLayoutVars>
          <dgm:dir/>
          <dgm:animLvl val="lvl"/>
          <dgm:resizeHandles val="exact"/>
        </dgm:presLayoutVars>
      </dgm:prSet>
      <dgm:spPr/>
    </dgm:pt>
    <dgm:pt modelId="{6E63B848-FDAE-4891-8566-8BE88B653316}" type="pres">
      <dgm:prSet presAssocID="{68DFCB13-F778-41C4-88A6-8A8793BBCF6B}" presName="parentLin" presStyleCnt="0"/>
      <dgm:spPr/>
    </dgm:pt>
    <dgm:pt modelId="{374EA5B0-C6AD-46BF-9645-7F0ED252FE66}" type="pres">
      <dgm:prSet presAssocID="{68DFCB13-F778-41C4-88A6-8A8793BBCF6B}" presName="parentLeftMargin" presStyleLbl="node1" presStyleIdx="0" presStyleCnt="1"/>
      <dgm:spPr/>
    </dgm:pt>
    <dgm:pt modelId="{377E1CD8-0067-463D-AA47-7581C029D7D4}" type="pres">
      <dgm:prSet presAssocID="{68DFCB13-F778-41C4-88A6-8A8793BBCF6B}" presName="parentText" presStyleLbl="node1" presStyleIdx="0" presStyleCnt="1" custScaleX="33793">
        <dgm:presLayoutVars>
          <dgm:chMax val="0"/>
          <dgm:bulletEnabled val="1"/>
        </dgm:presLayoutVars>
      </dgm:prSet>
      <dgm:spPr/>
    </dgm:pt>
    <dgm:pt modelId="{8C78493C-3C9C-4FDF-89DE-DDAC27488222}" type="pres">
      <dgm:prSet presAssocID="{68DFCB13-F778-41C4-88A6-8A8793BBCF6B}" presName="negativeSpace" presStyleCnt="0"/>
      <dgm:spPr/>
    </dgm:pt>
    <dgm:pt modelId="{1111B519-2F2F-4512-95FE-D2216303CCBE}" type="pres">
      <dgm:prSet presAssocID="{68DFCB13-F778-41C4-88A6-8A8793BBCF6B}" presName="childText" presStyleLbl="conFgAcc1" presStyleIdx="0" presStyleCnt="1" custScaleY="99330" custLinFactNeighborX="-1523" custLinFactNeighborY="1916">
        <dgm:presLayoutVars>
          <dgm:bulletEnabled val="1"/>
        </dgm:presLayoutVars>
      </dgm:prSet>
      <dgm:spPr/>
    </dgm:pt>
  </dgm:ptLst>
  <dgm:cxnLst>
    <dgm:cxn modelId="{69387103-3411-4A6C-B040-8EBB6BCB6A88}" type="presOf" srcId="{3CF91B55-1F75-4C87-9C67-A20C9FA05662}" destId="{1111B519-2F2F-4512-95FE-D2216303CCBE}" srcOrd="0" destOrd="3" presId="urn:microsoft.com/office/officeart/2005/8/layout/list1"/>
    <dgm:cxn modelId="{2B97E307-DDDC-45DC-9CA7-632648FED3B9}" type="presOf" srcId="{01C29C0B-230A-4A2F-B7AB-59E88CC6B709}" destId="{1111B519-2F2F-4512-95FE-D2216303CCBE}" srcOrd="0" destOrd="0" presId="urn:microsoft.com/office/officeart/2005/8/layout/list1"/>
    <dgm:cxn modelId="{E9E7F310-CA62-40CB-950B-C2B09700E887}" type="presOf" srcId="{FF27429C-5B6E-468F-AF42-BE9281FF2A23}" destId="{7323760A-CAC8-432D-A020-F77BFA77D735}" srcOrd="0" destOrd="0" presId="urn:microsoft.com/office/officeart/2005/8/layout/list1"/>
    <dgm:cxn modelId="{2C707029-5A0E-402A-B59F-EF340F2A4F9E}" type="presOf" srcId="{B3BD5EE0-8B02-47DD-9A82-259B22A65496}" destId="{1111B519-2F2F-4512-95FE-D2216303CCBE}" srcOrd="0" destOrd="8" presId="urn:microsoft.com/office/officeart/2005/8/layout/list1"/>
    <dgm:cxn modelId="{804E552C-050E-4FE3-9A89-FA56FE6F04DB}" srcId="{68DFCB13-F778-41C4-88A6-8A8793BBCF6B}" destId="{DDD57492-28E1-4534-8544-AE4C4F54393E}" srcOrd="4" destOrd="0" parTransId="{F4E1C6EE-CD86-4051-8C91-50C764FC2B3C}" sibTransId="{810108D9-3C67-4E9B-A016-62224098F996}"/>
    <dgm:cxn modelId="{EEF66A34-B4C1-4174-83EC-4C87C0DB31E8}" type="presOf" srcId="{DDD57492-28E1-4534-8544-AE4C4F54393E}" destId="{1111B519-2F2F-4512-95FE-D2216303CCBE}" srcOrd="0" destOrd="4" presId="urn:microsoft.com/office/officeart/2005/8/layout/list1"/>
    <dgm:cxn modelId="{9E117C35-F0A3-4260-AE5F-3261DFB7C6EE}" srcId="{FF27429C-5B6E-468F-AF42-BE9281FF2A23}" destId="{68DFCB13-F778-41C4-88A6-8A8793BBCF6B}" srcOrd="0" destOrd="0" parTransId="{55E528F8-5473-447A-B4D6-39039A5FF545}" sibTransId="{18C21111-088F-4CAC-A53E-A2F91EF73064}"/>
    <dgm:cxn modelId="{D2A05A42-79FB-4963-8B17-BF9A6786808F}" srcId="{68DFCB13-F778-41C4-88A6-8A8793BBCF6B}" destId="{C3D409E7-6B38-4B8B-8222-44C703F58D92}" srcOrd="2" destOrd="0" parTransId="{35E9F9E2-37BD-42CA-AB3F-4201DA8C5649}" sibTransId="{AC2A3F50-B651-4C05-9C8B-A8F890A72D73}"/>
    <dgm:cxn modelId="{CF9E1A65-553C-4315-9B4D-6922C5CF2185}" type="presOf" srcId="{68DFCB13-F778-41C4-88A6-8A8793BBCF6B}" destId="{377E1CD8-0067-463D-AA47-7581C029D7D4}" srcOrd="1" destOrd="0" presId="urn:microsoft.com/office/officeart/2005/8/layout/list1"/>
    <dgm:cxn modelId="{3B646E4E-A757-43B0-9D09-BAE2E05E5ACA}" srcId="{68DFCB13-F778-41C4-88A6-8A8793BBCF6B}" destId="{3CF91B55-1F75-4C87-9C67-A20C9FA05662}" srcOrd="3" destOrd="0" parTransId="{D8385961-8EAF-45B4-BEDD-9F02F740FFF8}" sibTransId="{3B565E79-6F22-4474-B8A9-856B312682A2}"/>
    <dgm:cxn modelId="{047B5950-955A-4E9C-890F-03A957F573F6}" srcId="{68DFCB13-F778-41C4-88A6-8A8793BBCF6B}" destId="{01C29C0B-230A-4A2F-B7AB-59E88CC6B709}" srcOrd="0" destOrd="0" parTransId="{BD00C7DA-D115-4DC8-96E9-9A8238F85148}" sibTransId="{65EB422C-F1D3-4985-A61D-252683A994E5}"/>
    <dgm:cxn modelId="{85999478-29B4-46D0-A378-2630E510203B}" type="presOf" srcId="{6F8CBEB5-BD00-46A8-8598-53DD15BC0D05}" destId="{1111B519-2F2F-4512-95FE-D2216303CCBE}" srcOrd="0" destOrd="6" presId="urn:microsoft.com/office/officeart/2005/8/layout/list1"/>
    <dgm:cxn modelId="{3FDC437B-7FEB-4570-9F57-FAA88171B111}" type="presOf" srcId="{68DFCB13-F778-41C4-88A6-8A8793BBCF6B}" destId="{374EA5B0-C6AD-46BF-9645-7F0ED252FE66}" srcOrd="0" destOrd="0" presId="urn:microsoft.com/office/officeart/2005/8/layout/list1"/>
    <dgm:cxn modelId="{E97BC17C-ACE4-4BB7-BC2E-2E60E6AEC07C}" srcId="{68DFCB13-F778-41C4-88A6-8A8793BBCF6B}" destId="{453A4B04-F76E-490B-8F74-F2CEC3B8BB19}" srcOrd="7" destOrd="0" parTransId="{E8616642-9216-43BC-85CB-23782D39B7D5}" sibTransId="{0C3A3D81-03D4-41F0-9DDD-F21090510B7A}"/>
    <dgm:cxn modelId="{62A354C5-3414-40BA-AD2A-45FD81C86CE9}" srcId="{68DFCB13-F778-41C4-88A6-8A8793BBCF6B}" destId="{6F8CBEB5-BD00-46A8-8598-53DD15BC0D05}" srcOrd="6" destOrd="0" parTransId="{A6EB8F4D-3D4D-468C-8830-DEA557649AF4}" sibTransId="{0628C494-8642-43D7-B0AB-7759DCBF2D72}"/>
    <dgm:cxn modelId="{85A2A9D1-776F-461B-B5DF-FAD4A3C4D680}" srcId="{68DFCB13-F778-41C4-88A6-8A8793BBCF6B}" destId="{F66DA131-6178-426C-B996-591DEB09B7CB}" srcOrd="5" destOrd="0" parTransId="{CEF9C5CB-6317-4711-B2DE-3942A095800E}" sibTransId="{FC3858C3-5945-430C-BB96-A050D5CEC46F}"/>
    <dgm:cxn modelId="{DAA46AD6-6800-4619-A2CB-499FD1424CD7}" srcId="{68DFCB13-F778-41C4-88A6-8A8793BBCF6B}" destId="{8A074394-24C9-4417-B175-5B020C5132EE}" srcOrd="1" destOrd="0" parTransId="{DCE292B1-DDE6-4D66-AF9B-D8F09CB2C44B}" sibTransId="{BB78CF32-946E-44D8-A2CB-37AAD43DE337}"/>
    <dgm:cxn modelId="{B7CD85DB-3BC4-4CD4-9B17-43633D4795FD}" type="presOf" srcId="{C3D409E7-6B38-4B8B-8222-44C703F58D92}" destId="{1111B519-2F2F-4512-95FE-D2216303CCBE}" srcOrd="0" destOrd="2" presId="urn:microsoft.com/office/officeart/2005/8/layout/list1"/>
    <dgm:cxn modelId="{46B5D4E3-A1B8-446E-BF94-1D1B608BD025}" srcId="{68DFCB13-F778-41C4-88A6-8A8793BBCF6B}" destId="{B3BD5EE0-8B02-47DD-9A82-259B22A65496}" srcOrd="8" destOrd="0" parTransId="{C5714091-2FD7-45AB-996F-8D909E729D08}" sibTransId="{0927F4C2-33AC-47BA-87B1-9849DE2EA647}"/>
    <dgm:cxn modelId="{15195BEA-A48C-4BD1-BDAE-C543865F46DB}" type="presOf" srcId="{453A4B04-F76E-490B-8F74-F2CEC3B8BB19}" destId="{1111B519-2F2F-4512-95FE-D2216303CCBE}" srcOrd="0" destOrd="7" presId="urn:microsoft.com/office/officeart/2005/8/layout/list1"/>
    <dgm:cxn modelId="{CA8266EB-2064-4FDD-95F0-C82CE1121510}" type="presOf" srcId="{8A074394-24C9-4417-B175-5B020C5132EE}" destId="{1111B519-2F2F-4512-95FE-D2216303CCBE}" srcOrd="0" destOrd="1" presId="urn:microsoft.com/office/officeart/2005/8/layout/list1"/>
    <dgm:cxn modelId="{5046DFFC-77C3-490C-81E3-6B38AFE3D365}" type="presOf" srcId="{F66DA131-6178-426C-B996-591DEB09B7CB}" destId="{1111B519-2F2F-4512-95FE-D2216303CCBE}" srcOrd="0" destOrd="5" presId="urn:microsoft.com/office/officeart/2005/8/layout/list1"/>
    <dgm:cxn modelId="{4BC55A49-751C-408F-B176-B7C4C361EF7E}" type="presParOf" srcId="{7323760A-CAC8-432D-A020-F77BFA77D735}" destId="{6E63B848-FDAE-4891-8566-8BE88B653316}" srcOrd="0" destOrd="0" presId="urn:microsoft.com/office/officeart/2005/8/layout/list1"/>
    <dgm:cxn modelId="{168861B8-2B13-4D21-A0A3-3DF5AA125F21}" type="presParOf" srcId="{6E63B848-FDAE-4891-8566-8BE88B653316}" destId="{374EA5B0-C6AD-46BF-9645-7F0ED252FE66}" srcOrd="0" destOrd="0" presId="urn:microsoft.com/office/officeart/2005/8/layout/list1"/>
    <dgm:cxn modelId="{FD713377-EE71-47D7-9EBD-4A34BD75CF63}" type="presParOf" srcId="{6E63B848-FDAE-4891-8566-8BE88B653316}" destId="{377E1CD8-0067-463D-AA47-7581C029D7D4}" srcOrd="1" destOrd="0" presId="urn:microsoft.com/office/officeart/2005/8/layout/list1"/>
    <dgm:cxn modelId="{855C1ABF-EE0E-4368-AAF2-7D3585E239A5}" type="presParOf" srcId="{7323760A-CAC8-432D-A020-F77BFA77D735}" destId="{8C78493C-3C9C-4FDF-89DE-DDAC27488222}" srcOrd="1" destOrd="0" presId="urn:microsoft.com/office/officeart/2005/8/layout/list1"/>
    <dgm:cxn modelId="{680373E2-88CE-4642-9587-481CCEFD2578}" type="presParOf" srcId="{7323760A-CAC8-432D-A020-F77BFA77D735}" destId="{1111B519-2F2F-4512-95FE-D2216303CCBE}" srcOrd="2" destOrd="0" presId="urn:microsoft.com/office/officeart/2005/8/layout/list1"/>
  </dgm:cxnLst>
  <dgm:bg/>
  <dgm:whole/>
  <dgm:extLst>
    <a:ext uri="http://schemas.microsoft.com/office/drawing/2008/diagram">
      <dsp:dataModelExt xmlns:dsp="http://schemas.microsoft.com/office/drawing/2008/diagram" relId="rId4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111B519-2F2F-4512-95FE-D2216303CCBE}">
      <dsp:nvSpPr>
        <dsp:cNvPr id="0" name=""/>
        <dsp:cNvSpPr/>
      </dsp:nvSpPr>
      <dsp:spPr>
        <a:xfrm>
          <a:off x="0" y="164167"/>
          <a:ext cx="5836919" cy="710325"/>
        </a:xfrm>
        <a:prstGeom prst="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35400" h="1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453010" tIns="229108" rIns="453010" bIns="71120" numCol="1" spcCol="1270" anchor="t" anchorCtr="0">
          <a:noAutofit/>
        </a:bodyPr>
        <a:lstStyle/>
        <a:p>
          <a:pPr marL="57150" lvl="1" indent="-57150" algn="l" defTabSz="444500">
            <a:lnSpc>
              <a:spcPct val="90000"/>
            </a:lnSpc>
            <a:spcBef>
              <a:spcPct val="0"/>
            </a:spcBef>
            <a:spcAft>
              <a:spcPct val="15000"/>
            </a:spcAft>
            <a:buChar char="•"/>
          </a:pPr>
          <a:r>
            <a:rPr lang="en-US" sz="1000" kern="1200">
              <a:latin typeface="Times New Roman" panose="02020603050405020304" pitchFamily="18" charset="0"/>
              <a:cs typeface="Times New Roman" panose="02020603050405020304" pitchFamily="18" charset="0"/>
            </a:rPr>
            <a:t>Hay una diferencia importante entre la definición de "ingreso" en la metodología nacional y los es</a:t>
          </a:r>
          <a:r>
            <a:rPr lang="en-US" sz="1000" kern="1200">
              <a:solidFill>
                <a:sysClr val="windowText" lastClr="000000"/>
              </a:solidFill>
              <a:latin typeface="Times New Roman" panose="02020603050405020304" pitchFamily="18" charset="0"/>
              <a:cs typeface="Times New Roman" panose="02020603050405020304" pitchFamily="18" charset="0"/>
            </a:rPr>
            <a:t>tán</a:t>
          </a:r>
          <a:r>
            <a:rPr lang="en-US" sz="1000" kern="1200">
              <a:latin typeface="Times New Roman" panose="02020603050405020304" pitchFamily="18" charset="0"/>
              <a:cs typeface="Times New Roman" panose="02020603050405020304" pitchFamily="18" charset="0"/>
            </a:rPr>
            <a:t>dares internacionales. </a:t>
          </a:r>
          <a:r>
            <a:rPr lang="en-US" sz="1000" b="1" kern="1200">
              <a:latin typeface="Times New Roman" panose="02020603050405020304" pitchFamily="18" charset="0"/>
              <a:cs typeface="Times New Roman" panose="02020603050405020304" pitchFamily="18" charset="0"/>
            </a:rPr>
            <a:t>En los </a:t>
          </a:r>
          <a:r>
            <a:rPr lang="en-US" sz="1000" b="1" strike="noStrike" kern="1200">
              <a:solidFill>
                <a:sysClr val="windowText" lastClr="000000"/>
              </a:solidFill>
              <a:latin typeface="Times New Roman" panose="02020603050405020304" pitchFamily="18" charset="0"/>
              <a:cs typeface="Times New Roman" panose="02020603050405020304" pitchFamily="18" charset="0"/>
            </a:rPr>
            <a:t>estándares</a:t>
          </a:r>
          <a:r>
            <a:rPr lang="en-US" sz="1000" b="1" kern="1200">
              <a:latin typeface="Times New Roman" panose="02020603050405020304" pitchFamily="18" charset="0"/>
              <a:cs typeface="Times New Roman" panose="02020603050405020304" pitchFamily="18" charset="0"/>
            </a:rPr>
            <a:t> internacionales, un ingreso es un aumento del patrimonio neto como resultado de una transacción (MEFP 2014) </a:t>
          </a:r>
        </a:p>
      </dsp:txBody>
      <dsp:txXfrm>
        <a:off x="0" y="164167"/>
        <a:ext cx="5836919" cy="710325"/>
      </dsp:txXfrm>
    </dsp:sp>
    <dsp:sp modelId="{377E1CD8-0067-463D-AA47-7581C029D7D4}">
      <dsp:nvSpPr>
        <dsp:cNvPr id="0" name=""/>
        <dsp:cNvSpPr/>
      </dsp:nvSpPr>
      <dsp:spPr>
        <a:xfrm>
          <a:off x="291560" y="1807"/>
          <a:ext cx="1379380" cy="324720"/>
        </a:xfrm>
        <a:prstGeom prst="round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54435" tIns="0" rIns="154435" bIns="0" numCol="1" spcCol="1270" anchor="ctr" anchorCtr="0">
          <a:noAutofit/>
        </a:bodyPr>
        <a:lstStyle/>
        <a:p>
          <a:pPr marL="0" lvl="0" indent="0" algn="l" defTabSz="444500">
            <a:lnSpc>
              <a:spcPct val="90000"/>
            </a:lnSpc>
            <a:spcBef>
              <a:spcPct val="0"/>
            </a:spcBef>
            <a:spcAft>
              <a:spcPct val="35000"/>
            </a:spcAft>
            <a:buNone/>
          </a:pPr>
          <a:r>
            <a:rPr lang="en-US" sz="1000" kern="1200">
              <a:latin typeface="Times New Roman" panose="02020603050405020304" pitchFamily="18" charset="0"/>
              <a:cs typeface="Times New Roman" panose="02020603050405020304" pitchFamily="18" charset="0"/>
            </a:rPr>
            <a:t>Nota Informativa</a:t>
          </a:r>
        </a:p>
      </dsp:txBody>
      <dsp:txXfrm>
        <a:off x="307412" y="17659"/>
        <a:ext cx="1347676" cy="29301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111B519-2F2F-4512-95FE-D2216303CCBE}">
      <dsp:nvSpPr>
        <dsp:cNvPr id="0" name=""/>
        <dsp:cNvSpPr/>
      </dsp:nvSpPr>
      <dsp:spPr>
        <a:xfrm>
          <a:off x="0" y="0"/>
          <a:ext cx="5836919" cy="866250"/>
        </a:xfrm>
        <a:prstGeom prst="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35400" h="1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453010" tIns="104140" rIns="453010" bIns="71120" numCol="1" spcCol="1270" anchor="t" anchorCtr="0">
          <a:noAutofit/>
        </a:bodyPr>
        <a:lstStyle/>
        <a:p>
          <a:pPr marL="57150" lvl="1" indent="-57150" algn="just" defTabSz="444500">
            <a:lnSpc>
              <a:spcPct val="90000"/>
            </a:lnSpc>
            <a:spcBef>
              <a:spcPct val="0"/>
            </a:spcBef>
            <a:spcAft>
              <a:spcPct val="15000"/>
            </a:spcAft>
            <a:buChar char="•"/>
          </a:pPr>
          <a:endParaRPr lang="en-US" sz="1000" b="1" kern="1200">
            <a:latin typeface="Times New Roman" panose="02020603050405020304" pitchFamily="18" charset="0"/>
            <a:cs typeface="Times New Roman" panose="02020603050405020304" pitchFamily="18" charset="0"/>
          </a:endParaRPr>
        </a:p>
        <a:p>
          <a:pPr marL="57150" lvl="1" indent="-57150" algn="just" defTabSz="444500">
            <a:lnSpc>
              <a:spcPct val="90000"/>
            </a:lnSpc>
            <a:spcBef>
              <a:spcPct val="0"/>
            </a:spcBef>
            <a:spcAft>
              <a:spcPct val="15000"/>
            </a:spcAft>
            <a:buChar char="•"/>
          </a:pPr>
          <a:r>
            <a:rPr lang="en-US" sz="1000" kern="1200">
              <a:latin typeface="Times New Roman" panose="02020603050405020304" pitchFamily="18" charset="0"/>
              <a:cs typeface="Times New Roman" panose="02020603050405020304" pitchFamily="18" charset="0"/>
            </a:rPr>
            <a:t>Los "Gastos" en los estándares internacionales presentan mayores diferencias respecto a la información presentada en metodología nacional y es importante entender que estos no son comparables entre si. </a:t>
          </a:r>
          <a:r>
            <a:rPr lang="en-US" sz="1000" b="1" kern="1200">
              <a:latin typeface="Times New Roman" panose="02020603050405020304" pitchFamily="18" charset="0"/>
              <a:cs typeface="Times New Roman" panose="02020603050405020304" pitchFamily="18" charset="0"/>
            </a:rPr>
            <a:t>En los e</a:t>
          </a:r>
          <a:r>
            <a:rPr lang="en-US" sz="1000" b="1" strike="noStrike" kern="1200">
              <a:solidFill>
                <a:sysClr val="windowText" lastClr="000000"/>
              </a:solidFill>
              <a:latin typeface="Times New Roman" panose="02020603050405020304" pitchFamily="18" charset="0"/>
              <a:cs typeface="Times New Roman" panose="02020603050405020304" pitchFamily="18" charset="0"/>
            </a:rPr>
            <a:t>stándares</a:t>
          </a:r>
          <a:r>
            <a:rPr lang="en-US" sz="1000" b="1" kern="1200">
              <a:latin typeface="Times New Roman" panose="02020603050405020304" pitchFamily="18" charset="0"/>
              <a:cs typeface="Times New Roman" panose="02020603050405020304" pitchFamily="18" charset="0"/>
            </a:rPr>
            <a:t> internacionales, un gasto es una disminución del patrimonio neto como resultado de una transacción (MEFP 2014) </a:t>
          </a:r>
        </a:p>
      </dsp:txBody>
      <dsp:txXfrm>
        <a:off x="0" y="0"/>
        <a:ext cx="5836919" cy="866250"/>
      </dsp:txXfrm>
    </dsp:sp>
    <dsp:sp modelId="{377E1CD8-0067-463D-AA47-7581C029D7D4}">
      <dsp:nvSpPr>
        <dsp:cNvPr id="0" name=""/>
        <dsp:cNvSpPr/>
      </dsp:nvSpPr>
      <dsp:spPr>
        <a:xfrm>
          <a:off x="291560" y="4234"/>
          <a:ext cx="1379380" cy="147600"/>
        </a:xfrm>
        <a:prstGeom prst="round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54435" tIns="0" rIns="154435" bIns="0" numCol="1" spcCol="1270" anchor="ctr" anchorCtr="0">
          <a:noAutofit/>
        </a:bodyPr>
        <a:lstStyle/>
        <a:p>
          <a:pPr marL="0" lvl="0" indent="0" algn="l" defTabSz="444500">
            <a:lnSpc>
              <a:spcPct val="90000"/>
            </a:lnSpc>
            <a:spcBef>
              <a:spcPct val="0"/>
            </a:spcBef>
            <a:spcAft>
              <a:spcPct val="35000"/>
            </a:spcAft>
            <a:buNone/>
          </a:pPr>
          <a:r>
            <a:rPr lang="en-US" sz="1000" kern="1200">
              <a:latin typeface="Times New Roman" panose="02020603050405020304" pitchFamily="18" charset="0"/>
              <a:cs typeface="Times New Roman" panose="02020603050405020304" pitchFamily="18" charset="0"/>
            </a:rPr>
            <a:t>Nota Informativa</a:t>
          </a:r>
        </a:p>
      </dsp:txBody>
      <dsp:txXfrm>
        <a:off x="298765" y="11439"/>
        <a:ext cx="1364970" cy="133190"/>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111B519-2F2F-4512-95FE-D2216303CCBE}">
      <dsp:nvSpPr>
        <dsp:cNvPr id="0" name=""/>
        <dsp:cNvSpPr/>
      </dsp:nvSpPr>
      <dsp:spPr>
        <a:xfrm>
          <a:off x="0" y="164167"/>
          <a:ext cx="5836919" cy="710325"/>
        </a:xfrm>
        <a:prstGeom prst="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35400" h="1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453010" tIns="229108" rIns="453010" bIns="71120" numCol="1" spcCol="1270" anchor="t" anchorCtr="0">
          <a:noAutofit/>
        </a:bodyPr>
        <a:lstStyle/>
        <a:p>
          <a:pPr marL="57150" lvl="1" indent="-57150" algn="just" defTabSz="444500">
            <a:lnSpc>
              <a:spcPct val="90000"/>
            </a:lnSpc>
            <a:spcBef>
              <a:spcPct val="0"/>
            </a:spcBef>
            <a:spcAft>
              <a:spcPct val="15000"/>
            </a:spcAft>
            <a:buChar char="•"/>
          </a:pPr>
          <a:r>
            <a:rPr lang="en-US" sz="1000" b="0" kern="1200">
              <a:latin typeface="Times New Roman" panose="02020603050405020304" pitchFamily="18" charset="0"/>
              <a:cs typeface="Times New Roman" panose="02020603050405020304" pitchFamily="18" charset="0"/>
            </a:rPr>
            <a:t>Una transacción es un flujo económico que consiste en una interacción entre unidades institucionales </a:t>
          </a:r>
          <a:r>
            <a:rPr lang="en-US" sz="1000" b="1" kern="1200">
              <a:latin typeface="Times New Roman" panose="02020603050405020304" pitchFamily="18" charset="0"/>
              <a:cs typeface="Times New Roman" panose="02020603050405020304" pitchFamily="18" charset="0"/>
            </a:rPr>
            <a:t>por mutuo acuerdo o mediante la aplicación de la ley.... (MEFP 2014)</a:t>
          </a:r>
          <a:r>
            <a:rPr lang="en-US" sz="1000" b="0" kern="1200">
              <a:latin typeface="Times New Roman" panose="02020603050405020304" pitchFamily="18" charset="0"/>
              <a:cs typeface="Times New Roman" panose="02020603050405020304" pitchFamily="18" charset="0"/>
            </a:rPr>
            <a:t>. </a:t>
          </a:r>
          <a:r>
            <a:rPr lang="en-US" sz="1000" b="1" kern="1200">
              <a:latin typeface="Times New Roman" panose="02020603050405020304" pitchFamily="18" charset="0"/>
              <a:cs typeface="Times New Roman" panose="02020603050405020304" pitchFamily="18" charset="0"/>
            </a:rPr>
            <a:t>Las transacciones en activos y pasivos no generan cambios en el patrimonio neto.</a:t>
          </a:r>
        </a:p>
      </dsp:txBody>
      <dsp:txXfrm>
        <a:off x="0" y="164167"/>
        <a:ext cx="5836919" cy="710325"/>
      </dsp:txXfrm>
    </dsp:sp>
    <dsp:sp modelId="{377E1CD8-0067-463D-AA47-7581C029D7D4}">
      <dsp:nvSpPr>
        <dsp:cNvPr id="0" name=""/>
        <dsp:cNvSpPr/>
      </dsp:nvSpPr>
      <dsp:spPr>
        <a:xfrm>
          <a:off x="291560" y="1807"/>
          <a:ext cx="1379380" cy="324720"/>
        </a:xfrm>
        <a:prstGeom prst="round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54435" tIns="0" rIns="154435" bIns="0" numCol="1" spcCol="1270" anchor="ctr" anchorCtr="0">
          <a:noAutofit/>
        </a:bodyPr>
        <a:lstStyle/>
        <a:p>
          <a:pPr marL="0" lvl="0" indent="0" algn="l" defTabSz="444500">
            <a:lnSpc>
              <a:spcPct val="90000"/>
            </a:lnSpc>
            <a:spcBef>
              <a:spcPct val="0"/>
            </a:spcBef>
            <a:spcAft>
              <a:spcPct val="35000"/>
            </a:spcAft>
            <a:buNone/>
          </a:pPr>
          <a:r>
            <a:rPr lang="en-US" sz="1000" kern="1200">
              <a:latin typeface="Times New Roman" panose="02020603050405020304" pitchFamily="18" charset="0"/>
              <a:cs typeface="Times New Roman" panose="02020603050405020304" pitchFamily="18" charset="0"/>
            </a:rPr>
            <a:t>Nota Informativa</a:t>
          </a:r>
        </a:p>
      </dsp:txBody>
      <dsp:txXfrm>
        <a:off x="307412" y="17659"/>
        <a:ext cx="1347676" cy="293016"/>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111B519-2F2F-4512-95FE-D2216303CCBE}">
      <dsp:nvSpPr>
        <dsp:cNvPr id="0" name=""/>
        <dsp:cNvSpPr/>
      </dsp:nvSpPr>
      <dsp:spPr>
        <a:xfrm>
          <a:off x="0" y="114959"/>
          <a:ext cx="5836919" cy="749700"/>
        </a:xfrm>
        <a:prstGeom prst="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35400" h="1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453010" tIns="145796" rIns="453010" bIns="71120" numCol="1" spcCol="1270" anchor="t" anchorCtr="0">
          <a:noAutofit/>
        </a:bodyPr>
        <a:lstStyle/>
        <a:p>
          <a:pPr marL="57150" lvl="1" indent="-57150" algn="just" defTabSz="444500">
            <a:lnSpc>
              <a:spcPct val="90000"/>
            </a:lnSpc>
            <a:spcBef>
              <a:spcPct val="0"/>
            </a:spcBef>
            <a:spcAft>
              <a:spcPct val="15000"/>
            </a:spcAft>
            <a:buChar char="•"/>
          </a:pPr>
          <a:r>
            <a:rPr lang="en-US" sz="1000" kern="1200">
              <a:latin typeface="Times New Roman" panose="02020603050405020304" pitchFamily="18" charset="0"/>
              <a:cs typeface="Times New Roman" panose="02020603050405020304" pitchFamily="18" charset="0"/>
            </a:rPr>
            <a:t>Las "Erogaciones" poseen cierta similitud conceptual a lo que en la metodología nacional se entiende por gasto, sin embargo, poseen algunas diferencias leves. </a:t>
          </a:r>
          <a:r>
            <a:rPr lang="en-US" sz="1000" b="1" kern="1200">
              <a:latin typeface="Times New Roman" panose="02020603050405020304" pitchFamily="18" charset="0"/>
              <a:cs typeface="Times New Roman" panose="02020603050405020304" pitchFamily="18" charset="0"/>
            </a:rPr>
            <a:t>En </a:t>
          </a:r>
          <a:r>
            <a:rPr lang="en-US" sz="1000" b="1" kern="1200">
              <a:solidFill>
                <a:sysClr val="windowText" lastClr="000000"/>
              </a:solidFill>
              <a:latin typeface="Times New Roman" panose="02020603050405020304" pitchFamily="18" charset="0"/>
              <a:cs typeface="Times New Roman" panose="02020603050405020304" pitchFamily="18" charset="0"/>
            </a:rPr>
            <a:t>los </a:t>
          </a:r>
          <a:r>
            <a:rPr lang="en-US" sz="1000" b="1" strike="noStrike" kern="1200">
              <a:solidFill>
                <a:sysClr val="windowText" lastClr="000000"/>
              </a:solidFill>
              <a:latin typeface="Times New Roman" panose="02020603050405020304" pitchFamily="18" charset="0"/>
              <a:cs typeface="Times New Roman" panose="02020603050405020304" pitchFamily="18" charset="0"/>
            </a:rPr>
            <a:t>estándares</a:t>
          </a:r>
          <a:r>
            <a:rPr lang="en-US" sz="1000" b="1" kern="1200">
              <a:solidFill>
                <a:sysClr val="windowText" lastClr="000000"/>
              </a:solidFill>
              <a:latin typeface="Times New Roman" panose="02020603050405020304" pitchFamily="18" charset="0"/>
              <a:cs typeface="Times New Roman" panose="02020603050405020304" pitchFamily="18" charset="0"/>
            </a:rPr>
            <a:t> internacionales, una erogación es la suma de los gastos y la inversión neta en activos </a:t>
          </a:r>
          <a:r>
            <a:rPr lang="en-US" sz="1000" b="1" kern="1200">
              <a:latin typeface="Times New Roman" panose="02020603050405020304" pitchFamily="18" charset="0"/>
              <a:cs typeface="Times New Roman" panose="02020603050405020304" pitchFamily="18" charset="0"/>
            </a:rPr>
            <a:t>no financieros (MEFP 2014) </a:t>
          </a:r>
        </a:p>
      </dsp:txBody>
      <dsp:txXfrm>
        <a:off x="0" y="114959"/>
        <a:ext cx="5836919" cy="749700"/>
      </dsp:txXfrm>
    </dsp:sp>
    <dsp:sp modelId="{377E1CD8-0067-463D-AA47-7581C029D7D4}">
      <dsp:nvSpPr>
        <dsp:cNvPr id="0" name=""/>
        <dsp:cNvSpPr/>
      </dsp:nvSpPr>
      <dsp:spPr>
        <a:xfrm>
          <a:off x="291560" y="11639"/>
          <a:ext cx="1379380" cy="206640"/>
        </a:xfrm>
        <a:prstGeom prst="round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54435" tIns="0" rIns="154435" bIns="0" numCol="1" spcCol="1270" anchor="ctr" anchorCtr="0">
          <a:noAutofit/>
        </a:bodyPr>
        <a:lstStyle/>
        <a:p>
          <a:pPr marL="0" lvl="0" indent="0" algn="l" defTabSz="444500">
            <a:lnSpc>
              <a:spcPct val="90000"/>
            </a:lnSpc>
            <a:spcBef>
              <a:spcPct val="0"/>
            </a:spcBef>
            <a:spcAft>
              <a:spcPct val="35000"/>
            </a:spcAft>
            <a:buNone/>
          </a:pPr>
          <a:r>
            <a:rPr lang="en-US" sz="1000" kern="1200">
              <a:latin typeface="Times New Roman" panose="02020603050405020304" pitchFamily="18" charset="0"/>
              <a:cs typeface="Times New Roman" panose="02020603050405020304" pitchFamily="18" charset="0"/>
            </a:rPr>
            <a:t>Nota Informativa</a:t>
          </a:r>
        </a:p>
      </dsp:txBody>
      <dsp:txXfrm>
        <a:off x="301647" y="21726"/>
        <a:ext cx="1359206" cy="186466"/>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111B519-2F2F-4512-95FE-D2216303CCBE}">
      <dsp:nvSpPr>
        <dsp:cNvPr id="0" name=""/>
        <dsp:cNvSpPr/>
      </dsp:nvSpPr>
      <dsp:spPr>
        <a:xfrm>
          <a:off x="0" y="73866"/>
          <a:ext cx="5836919" cy="1780030"/>
        </a:xfrm>
        <a:prstGeom prst="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35400" h="1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453010" tIns="163958" rIns="453010" bIns="71120" numCol="1" spcCol="1270" anchor="t" anchorCtr="0">
          <a:noAutofit/>
        </a:bodyPr>
        <a:lstStyle/>
        <a:p>
          <a:pPr marL="57150" lvl="1" indent="-57150" algn="just" defTabSz="444500">
            <a:lnSpc>
              <a:spcPct val="90000"/>
            </a:lnSpc>
            <a:spcBef>
              <a:spcPct val="0"/>
            </a:spcBef>
            <a:spcAft>
              <a:spcPct val="15000"/>
            </a:spcAft>
            <a:buChar char="•"/>
          </a:pPr>
          <a:r>
            <a:rPr lang="en-US" sz="1000" kern="1200">
              <a:latin typeface="Times New Roman" panose="02020603050405020304" pitchFamily="18" charset="0"/>
              <a:cs typeface="Times New Roman" panose="02020603050405020304" pitchFamily="18" charset="0"/>
            </a:rPr>
            <a:t>Existe una diferencia importante entre el concepto de  resultado fiscal con metodología nacional y los </a:t>
          </a:r>
          <a:r>
            <a:rPr lang="en-US" sz="1000" kern="1200">
              <a:solidFill>
                <a:sysClr val="windowText" lastClr="000000"/>
              </a:solidFill>
              <a:latin typeface="Times New Roman" panose="02020603050405020304" pitchFamily="18" charset="0"/>
              <a:cs typeface="Times New Roman" panose="02020603050405020304" pitchFamily="18" charset="0"/>
            </a:rPr>
            <a:t>estándares internacionales, lo cual </a:t>
          </a:r>
          <a:r>
            <a:rPr lang="en-US" sz="1000" kern="1200">
              <a:latin typeface="Times New Roman" panose="02020603050405020304" pitchFamily="18" charset="0"/>
              <a:cs typeface="Times New Roman" panose="02020603050405020304" pitchFamily="18" charset="0"/>
            </a:rPr>
            <a:t>hace que estos no sean perfectamente comparables. </a:t>
          </a:r>
          <a:r>
            <a:rPr lang="en-US" sz="1000" b="1" kern="1200">
              <a:latin typeface="Times New Roman" panose="02020603050405020304" pitchFamily="18" charset="0"/>
              <a:cs typeface="Times New Roman" panose="02020603050405020304" pitchFamily="18" charset="0"/>
            </a:rPr>
            <a:t>En los </a:t>
          </a:r>
          <a:r>
            <a:rPr lang="en-US" sz="1000" b="1" strike="noStrike" kern="1200">
              <a:solidFill>
                <a:sysClr val="windowText" lastClr="000000"/>
              </a:solidFill>
              <a:latin typeface="Times New Roman" panose="02020603050405020304" pitchFamily="18" charset="0"/>
              <a:cs typeface="Times New Roman" panose="02020603050405020304" pitchFamily="18" charset="0"/>
            </a:rPr>
            <a:t>estándares</a:t>
          </a:r>
          <a:r>
            <a:rPr lang="en-US" sz="1000" b="1" kern="1200">
              <a:latin typeface="Times New Roman" panose="02020603050405020304" pitchFamily="18" charset="0"/>
              <a:cs typeface="Times New Roman" panose="02020603050405020304" pitchFamily="18" charset="0"/>
            </a:rPr>
            <a:t> internacionales existen los siguientes indicadores fiscales:</a:t>
          </a:r>
        </a:p>
        <a:p>
          <a:pPr marL="57150" lvl="1" indent="-57150" algn="l" defTabSz="444500">
            <a:lnSpc>
              <a:spcPct val="90000"/>
            </a:lnSpc>
            <a:spcBef>
              <a:spcPct val="0"/>
            </a:spcBef>
            <a:spcAft>
              <a:spcPct val="15000"/>
            </a:spcAft>
            <a:buChar char="•"/>
          </a:pPr>
          <a:endParaRPr lang="en-US" sz="1000" b="1" kern="1200">
            <a:latin typeface="Times New Roman" panose="02020603050405020304" pitchFamily="18" charset="0"/>
            <a:cs typeface="Times New Roman" panose="02020603050405020304" pitchFamily="18" charset="0"/>
          </a:endParaRPr>
        </a:p>
        <a:p>
          <a:pPr marL="57150" lvl="1" indent="-57150" algn="just" defTabSz="444500">
            <a:lnSpc>
              <a:spcPct val="90000"/>
            </a:lnSpc>
            <a:spcBef>
              <a:spcPct val="0"/>
            </a:spcBef>
            <a:spcAft>
              <a:spcPct val="15000"/>
            </a:spcAft>
            <a:buChar char="•"/>
          </a:pPr>
          <a:r>
            <a:rPr lang="en-US" sz="1000" b="1" kern="1200">
              <a:latin typeface="Times New Roman" panose="02020603050405020304" pitchFamily="18" charset="0"/>
              <a:cs typeface="Times New Roman" panose="02020603050405020304" pitchFamily="18" charset="0"/>
            </a:rPr>
            <a:t> 1.) Resultado Operativo Neto (NOB) = </a:t>
          </a:r>
          <a:r>
            <a:rPr lang="en-US" sz="1000" b="0" kern="1200">
              <a:latin typeface="Times New Roman" panose="02020603050405020304" pitchFamily="18" charset="0"/>
              <a:cs typeface="Times New Roman" panose="02020603050405020304" pitchFamily="18" charset="0"/>
            </a:rPr>
            <a:t>Ingresos - Gastos</a:t>
          </a:r>
        </a:p>
        <a:p>
          <a:pPr marL="57150" lvl="1" indent="-57150" algn="just" defTabSz="444500">
            <a:lnSpc>
              <a:spcPct val="90000"/>
            </a:lnSpc>
            <a:spcBef>
              <a:spcPct val="0"/>
            </a:spcBef>
            <a:spcAft>
              <a:spcPct val="15000"/>
            </a:spcAft>
            <a:buChar char="•"/>
          </a:pPr>
          <a:r>
            <a:rPr lang="en-US" sz="1000" b="1" kern="1200">
              <a:latin typeface="Times New Roman" panose="02020603050405020304" pitchFamily="18" charset="0"/>
              <a:cs typeface="Times New Roman" panose="02020603050405020304" pitchFamily="18" charset="0"/>
            </a:rPr>
            <a:t> 2.) Resultado Operativo Bruto (GOB) = </a:t>
          </a:r>
          <a:r>
            <a:rPr lang="en-US" sz="1000" b="0" kern="1200">
              <a:latin typeface="Times New Roman" panose="02020603050405020304" pitchFamily="18" charset="0"/>
              <a:cs typeface="Times New Roman" panose="02020603050405020304" pitchFamily="18" charset="0"/>
            </a:rPr>
            <a:t>Ingresos - Gastos + Consumo de capital fijo</a:t>
          </a:r>
        </a:p>
        <a:p>
          <a:pPr marL="57150" lvl="1" indent="-57150" algn="just" defTabSz="444500">
            <a:lnSpc>
              <a:spcPct val="90000"/>
            </a:lnSpc>
            <a:spcBef>
              <a:spcPct val="0"/>
            </a:spcBef>
            <a:spcAft>
              <a:spcPct val="15000"/>
            </a:spcAft>
            <a:buChar char="•"/>
          </a:pPr>
          <a:r>
            <a:rPr lang="en-US" sz="1000" b="1" kern="1200">
              <a:latin typeface="Times New Roman" panose="02020603050405020304" pitchFamily="18" charset="0"/>
              <a:cs typeface="Times New Roman" panose="02020603050405020304" pitchFamily="18" charset="0"/>
            </a:rPr>
            <a:t> 3.) P</a:t>
          </a:r>
          <a:r>
            <a:rPr lang="en-US" sz="1000" b="1" kern="1200">
              <a:solidFill>
                <a:sysClr val="windowText" lastClr="000000"/>
              </a:solidFill>
              <a:latin typeface="Times New Roman" panose="02020603050405020304" pitchFamily="18" charset="0"/>
              <a:cs typeface="Times New Roman" panose="02020603050405020304" pitchFamily="18" charset="0"/>
            </a:rPr>
            <a:t>réstamo </a:t>
          </a:r>
          <a:r>
            <a:rPr lang="en-US" sz="1000" b="1" kern="1200">
              <a:latin typeface="Times New Roman" panose="02020603050405020304" pitchFamily="18" charset="0"/>
              <a:cs typeface="Times New Roman" panose="02020603050405020304" pitchFamily="18" charset="0"/>
            </a:rPr>
            <a:t>o Endeudamiento Neto (NLB) = </a:t>
          </a:r>
          <a:r>
            <a:rPr lang="en-US" sz="1000" b="0" kern="1200">
              <a:latin typeface="Times New Roman" panose="02020603050405020304" pitchFamily="18" charset="0"/>
              <a:cs typeface="Times New Roman" panose="02020603050405020304" pitchFamily="18" charset="0"/>
            </a:rPr>
            <a:t>NOB - Inversión Neta en Activos no financieros</a:t>
          </a:r>
        </a:p>
        <a:p>
          <a:pPr marL="57150" lvl="1" indent="-57150" algn="just" defTabSz="444500">
            <a:lnSpc>
              <a:spcPct val="90000"/>
            </a:lnSpc>
            <a:spcBef>
              <a:spcPct val="0"/>
            </a:spcBef>
            <a:spcAft>
              <a:spcPct val="15000"/>
            </a:spcAft>
            <a:buChar char="•"/>
          </a:pPr>
          <a:endParaRPr lang="en-US" sz="1000" b="0" kern="1200">
            <a:latin typeface="Times New Roman" panose="02020603050405020304" pitchFamily="18" charset="0"/>
            <a:cs typeface="Times New Roman" panose="02020603050405020304" pitchFamily="18" charset="0"/>
          </a:endParaRPr>
        </a:p>
        <a:p>
          <a:pPr marL="57150" lvl="1" indent="-57150" algn="just" defTabSz="444500">
            <a:lnSpc>
              <a:spcPct val="90000"/>
            </a:lnSpc>
            <a:spcBef>
              <a:spcPct val="0"/>
            </a:spcBef>
            <a:spcAft>
              <a:spcPct val="15000"/>
            </a:spcAft>
            <a:buChar char="•"/>
          </a:pPr>
          <a:r>
            <a:rPr lang="en-US" sz="1000" b="1" kern="1200">
              <a:latin typeface="Times New Roman" panose="02020603050405020304" pitchFamily="18" charset="0"/>
              <a:cs typeface="Times New Roman" panose="02020603050405020304" pitchFamily="18" charset="0"/>
            </a:rPr>
            <a:t>El NOB equivale a las variaciones en el patrimonio neto derivado a transacciones mientras que el NLB también equivale al financiamiento total (MEFP 2014)</a:t>
          </a:r>
        </a:p>
        <a:p>
          <a:pPr marL="57150" lvl="1" indent="-57150" algn="just" defTabSz="444500">
            <a:lnSpc>
              <a:spcPct val="90000"/>
            </a:lnSpc>
            <a:spcBef>
              <a:spcPct val="0"/>
            </a:spcBef>
            <a:spcAft>
              <a:spcPct val="15000"/>
            </a:spcAft>
            <a:buChar char="•"/>
          </a:pPr>
          <a:endParaRPr lang="en-US" sz="1000" b="1" kern="1200">
            <a:latin typeface="Times New Roman" panose="02020603050405020304" pitchFamily="18" charset="0"/>
            <a:cs typeface="Times New Roman" panose="02020603050405020304" pitchFamily="18" charset="0"/>
          </a:endParaRPr>
        </a:p>
        <a:p>
          <a:pPr marL="57150" lvl="1" indent="-57150" algn="l" defTabSz="444500">
            <a:lnSpc>
              <a:spcPct val="90000"/>
            </a:lnSpc>
            <a:spcBef>
              <a:spcPct val="0"/>
            </a:spcBef>
            <a:spcAft>
              <a:spcPct val="15000"/>
            </a:spcAft>
            <a:buChar char="•"/>
          </a:pPr>
          <a:endParaRPr lang="en-US" sz="1000" b="1" kern="1200">
            <a:latin typeface="Times New Roman" panose="02020603050405020304" pitchFamily="18" charset="0"/>
            <a:cs typeface="Times New Roman" panose="02020603050405020304" pitchFamily="18" charset="0"/>
          </a:endParaRPr>
        </a:p>
      </dsp:txBody>
      <dsp:txXfrm>
        <a:off x="0" y="73866"/>
        <a:ext cx="5836919" cy="1780030"/>
      </dsp:txXfrm>
    </dsp:sp>
    <dsp:sp modelId="{377E1CD8-0067-463D-AA47-7581C029D7D4}">
      <dsp:nvSpPr>
        <dsp:cNvPr id="0" name=""/>
        <dsp:cNvSpPr/>
      </dsp:nvSpPr>
      <dsp:spPr>
        <a:xfrm>
          <a:off x="291560" y="1660"/>
          <a:ext cx="1379380" cy="141695"/>
        </a:xfrm>
        <a:prstGeom prst="round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54435" tIns="0" rIns="154435" bIns="0" numCol="1" spcCol="1270" anchor="ctr" anchorCtr="0">
          <a:noAutofit/>
        </a:bodyPr>
        <a:lstStyle/>
        <a:p>
          <a:pPr marL="0" lvl="0" indent="0" algn="l" defTabSz="444500">
            <a:lnSpc>
              <a:spcPct val="90000"/>
            </a:lnSpc>
            <a:spcBef>
              <a:spcPct val="0"/>
            </a:spcBef>
            <a:spcAft>
              <a:spcPct val="35000"/>
            </a:spcAft>
            <a:buNone/>
          </a:pPr>
          <a:r>
            <a:rPr lang="en-US" sz="1000" kern="1200">
              <a:latin typeface="Times New Roman" panose="02020603050405020304" pitchFamily="18" charset="0"/>
              <a:cs typeface="Times New Roman" panose="02020603050405020304" pitchFamily="18" charset="0"/>
            </a:rPr>
            <a:t>Nota Informativa</a:t>
          </a:r>
        </a:p>
      </dsp:txBody>
      <dsp:txXfrm>
        <a:off x="298477" y="8577"/>
        <a:ext cx="1365546" cy="127861"/>
      </dsp:txXfrm>
    </dsp:sp>
  </dsp:spTree>
</dsp:drawing>
</file>

<file path=word/diagrams/layout1.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0.59</cdr:x>
      <cdr:y>0.84726</cdr:y>
    </cdr:from>
    <cdr:to>
      <cdr:x>1</cdr:x>
      <cdr:y>0.983</cdr:y>
    </cdr:to>
    <cdr:sp macro="" textlink="">
      <cdr:nvSpPr>
        <cdr:cNvPr id="2" name="Cuadro de texto 2"/>
        <cdr:cNvSpPr txBox="1">
          <a:spLocks xmlns:a="http://schemas.openxmlformats.org/drawingml/2006/main" noChangeArrowheads="1"/>
        </cdr:cNvSpPr>
      </cdr:nvSpPr>
      <cdr:spPr bwMode="auto">
        <a:xfrm xmlns:a="http://schemas.openxmlformats.org/drawingml/2006/main">
          <a:off x="1579899" y="1617794"/>
          <a:ext cx="1097896" cy="259188"/>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spcAft>
              <a:spcPts val="0"/>
            </a:spcAft>
          </a:pPr>
          <a:r>
            <a:rPr lang="es-GT" sz="800">
              <a:effectLst/>
              <a:latin typeface="Times New Roman" panose="02020603050405020304" pitchFamily="18" charset="0"/>
              <a:ea typeface="Times New Roman" panose="02020603050405020304" pitchFamily="18" charset="0"/>
              <a:cs typeface="Times New Roman" panose="02020603050405020304" pitchFamily="18" charset="0"/>
            </a:rPr>
            <a:t>*Cifras preliminares</a:t>
          </a:r>
          <a:endParaRPr lang="es-GT" sz="1100">
            <a:effectLst/>
            <a:latin typeface="Times New Roman" panose="02020603050405020304" pitchFamily="18" charset="0"/>
            <a:ea typeface="Times New Roman" panose="02020603050405020304" pitchFamily="18" charset="0"/>
            <a:cs typeface="Times New Roman" panose="02020603050405020304" pitchFamily="18" charset="0"/>
          </a:endParaRPr>
        </a:p>
        <a:p xmlns:a="http://schemas.openxmlformats.org/drawingml/2006/main">
          <a:pPr algn="r">
            <a:spcAft>
              <a:spcPts val="0"/>
            </a:spcAft>
          </a:pPr>
          <a:r>
            <a:rPr lang="es-GT" sz="800">
              <a:effectLst/>
              <a:latin typeface="Times New Roman" panose="02020603050405020304" pitchFamily="18" charset="0"/>
              <a:ea typeface="Times New Roman" panose="02020603050405020304" pitchFamily="18" charset="0"/>
              <a:cs typeface="Times New Roman" panose="02020603050405020304" pitchFamily="18" charset="0"/>
            </a:rPr>
            <a:t>Fuente: MINFIN</a:t>
          </a:r>
          <a:endParaRPr lang="es-GT" sz="1100">
            <a:effectLst/>
            <a:latin typeface="Times New Roman" panose="02020603050405020304" pitchFamily="18" charset="0"/>
            <a:ea typeface="Times New Roman" panose="02020603050405020304" pitchFamily="18" charset="0"/>
            <a:cs typeface="Times New Roman" panose="02020603050405020304" pitchFamily="18" charset="0"/>
          </a:endParaRPr>
        </a:p>
        <a:p xmlns:a="http://schemas.openxmlformats.org/drawingml/2006/main">
          <a:pPr algn="r">
            <a:spcAft>
              <a:spcPts val="0"/>
            </a:spcAft>
          </a:pPr>
          <a:r>
            <a:rPr lang="es-GT" sz="1100">
              <a:effectLst/>
              <a:latin typeface="Times New Roman" panose="02020603050405020304" pitchFamily="18" charset="0"/>
              <a:ea typeface="Times New Roman" panose="02020603050405020304" pitchFamily="18" charset="0"/>
              <a:cs typeface="Times New Roman" panose="02020603050405020304" pitchFamily="18" charset="0"/>
            </a:rPr>
            <a:t> </a:t>
          </a:r>
        </a:p>
        <a:p xmlns:a="http://schemas.openxmlformats.org/drawingml/2006/main">
          <a:pPr algn="r">
            <a:spcAft>
              <a:spcPts val="0"/>
            </a:spcAft>
          </a:pPr>
          <a:r>
            <a:rPr lang="es-GT" sz="1100">
              <a:effectLst/>
              <a:latin typeface="Times New Roman" panose="02020603050405020304" pitchFamily="18" charset="0"/>
              <a:ea typeface="Times New Roman" panose="02020603050405020304" pitchFamily="18" charset="0"/>
              <a:cs typeface="Times New Roman" panose="02020603050405020304" pitchFamily="18" charset="0"/>
            </a:rPr>
            <a:t> </a:t>
          </a:r>
        </a:p>
      </cdr:txBody>
    </cdr:sp>
  </cdr:relSizeAnchor>
</c:userShapes>
</file>

<file path=word/drawings/drawing10.xml><?xml version="1.0" encoding="utf-8"?>
<c:userShapes xmlns:c="http://schemas.openxmlformats.org/drawingml/2006/chart">
  <cdr:relSizeAnchor xmlns:cdr="http://schemas.openxmlformats.org/drawingml/2006/chartDrawing">
    <cdr:from>
      <cdr:x>0.19655</cdr:x>
      <cdr:y>0.8965</cdr:y>
    </cdr:from>
    <cdr:to>
      <cdr:x>1</cdr:x>
      <cdr:y>1</cdr:y>
    </cdr:to>
    <cdr:sp macro="" textlink="">
      <cdr:nvSpPr>
        <cdr:cNvPr id="2" name="Cuadro de texto 2"/>
        <cdr:cNvSpPr txBox="1">
          <a:spLocks xmlns:a="http://schemas.openxmlformats.org/drawingml/2006/main" noChangeArrowheads="1"/>
        </cdr:cNvSpPr>
      </cdr:nvSpPr>
      <cdr:spPr bwMode="auto">
        <a:xfrm xmlns:a="http://schemas.openxmlformats.org/drawingml/2006/main">
          <a:off x="568119" y="3700886"/>
          <a:ext cx="2322401" cy="427249"/>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spcAft>
              <a:spcPts val="0"/>
            </a:spcAft>
          </a:pPr>
          <a:r>
            <a:rPr lang="es-GT" sz="800">
              <a:effectLst/>
              <a:latin typeface="Times New Roman" panose="02020603050405020304" pitchFamily="18" charset="0"/>
              <a:ea typeface="Times New Roman" panose="02020603050405020304" pitchFamily="18" charset="0"/>
              <a:cs typeface="Times New Roman" panose="02020603050405020304" pitchFamily="18" charset="0"/>
            </a:rPr>
            <a:t>1/ Con base a la metodología nacional</a:t>
          </a:r>
        </a:p>
        <a:p xmlns:a="http://schemas.openxmlformats.org/drawingml/2006/main">
          <a:pPr algn="r">
            <a:spcAft>
              <a:spcPts val="0"/>
            </a:spcAft>
          </a:pPr>
          <a:r>
            <a:rPr lang="es-GT" sz="800">
              <a:effectLst/>
              <a:latin typeface="Times New Roman" panose="02020603050405020304" pitchFamily="18" charset="0"/>
              <a:ea typeface="Times New Roman" panose="02020603050405020304" pitchFamily="18" charset="0"/>
              <a:cs typeface="Times New Roman" panose="02020603050405020304" pitchFamily="18" charset="0"/>
            </a:rPr>
            <a:t>*Cifras preliminares</a:t>
          </a:r>
        </a:p>
        <a:p xmlns:a="http://schemas.openxmlformats.org/drawingml/2006/main">
          <a:pPr algn="r">
            <a:spcAft>
              <a:spcPts val="0"/>
            </a:spcAft>
          </a:pPr>
          <a:r>
            <a:rPr lang="es-GT" sz="800">
              <a:effectLst/>
              <a:latin typeface="Times New Roman" panose="02020603050405020304" pitchFamily="18" charset="0"/>
              <a:ea typeface="Times New Roman" panose="02020603050405020304" pitchFamily="18" charset="0"/>
              <a:cs typeface="Times New Roman" panose="02020603050405020304" pitchFamily="18" charset="0"/>
            </a:rPr>
            <a:t>Fuente: MINFIN</a:t>
          </a:r>
        </a:p>
        <a:p xmlns:a="http://schemas.openxmlformats.org/drawingml/2006/main">
          <a:pPr algn="r">
            <a:spcAft>
              <a:spcPts val="0"/>
            </a:spcAft>
          </a:pPr>
          <a:r>
            <a:rPr lang="es-GT" sz="1100">
              <a:effectLst/>
              <a:latin typeface="Times New Roman" panose="02020603050405020304" pitchFamily="18" charset="0"/>
              <a:ea typeface="Times New Roman" panose="02020603050405020304" pitchFamily="18" charset="0"/>
              <a:cs typeface="Times New Roman" panose="02020603050405020304" pitchFamily="18" charset="0"/>
            </a:rPr>
            <a:t> </a:t>
          </a:r>
        </a:p>
        <a:p xmlns:a="http://schemas.openxmlformats.org/drawingml/2006/main">
          <a:pPr algn="r">
            <a:spcAft>
              <a:spcPts val="0"/>
            </a:spcAft>
          </a:pPr>
          <a:r>
            <a:rPr lang="es-GT" sz="1100">
              <a:effectLst/>
              <a:latin typeface="Times New Roman" panose="02020603050405020304" pitchFamily="18" charset="0"/>
              <a:ea typeface="Times New Roman" panose="02020603050405020304" pitchFamily="18" charset="0"/>
              <a:cs typeface="Times New Roman" panose="02020603050405020304" pitchFamily="18" charset="0"/>
            </a:rPr>
            <a:t> </a:t>
          </a:r>
        </a:p>
      </cdr:txBody>
    </cdr:sp>
  </cdr:relSizeAnchor>
</c:userShapes>
</file>

<file path=word/drawings/drawing2.xml><?xml version="1.0" encoding="utf-8"?>
<c:userShapes xmlns:c="http://schemas.openxmlformats.org/drawingml/2006/chart">
  <cdr:relSizeAnchor xmlns:cdr="http://schemas.openxmlformats.org/drawingml/2006/chartDrawing">
    <cdr:from>
      <cdr:x>0.81689</cdr:x>
      <cdr:y>0.28701</cdr:y>
    </cdr:from>
    <cdr:to>
      <cdr:x>0.81689</cdr:x>
      <cdr:y>0.88429</cdr:y>
    </cdr:to>
    <cdr:cxnSp macro="">
      <cdr:nvCxnSpPr>
        <cdr:cNvPr id="3" name="Conector recto 2"/>
        <cdr:cNvCxnSpPr/>
      </cdr:nvCxnSpPr>
      <cdr:spPr>
        <a:xfrm xmlns:a="http://schemas.openxmlformats.org/drawingml/2006/main">
          <a:off x="4878109" y="520510"/>
          <a:ext cx="0" cy="1083203"/>
        </a:xfrm>
        <a:prstGeom xmlns:a="http://schemas.openxmlformats.org/drawingml/2006/main" prst="line">
          <a:avLst/>
        </a:prstGeom>
        <a:effectLst xmlns:a="http://schemas.openxmlformats.org/drawingml/2006/main">
          <a:outerShdw blurRad="50800" dist="38100" dir="18900000" algn="bl" rotWithShape="0">
            <a:prstClr val="black">
              <a:alpha val="40000"/>
            </a:prstClr>
          </a:outerShdw>
        </a:effectLst>
      </cdr:spPr>
      <cdr:style>
        <a:lnRef xmlns:a="http://schemas.openxmlformats.org/drawingml/2006/main" idx="3">
          <a:schemeClr val="dk1"/>
        </a:lnRef>
        <a:fillRef xmlns:a="http://schemas.openxmlformats.org/drawingml/2006/main" idx="0">
          <a:schemeClr val="dk1"/>
        </a:fillRef>
        <a:effectRef xmlns:a="http://schemas.openxmlformats.org/drawingml/2006/main" idx="2">
          <a:schemeClr val="dk1"/>
        </a:effectRef>
        <a:fontRef xmlns:a="http://schemas.openxmlformats.org/drawingml/2006/main" idx="minor">
          <a:schemeClr val="tx1"/>
        </a:fontRef>
      </cdr:style>
    </cdr:cxnSp>
  </cdr:relSizeAnchor>
</c:userShapes>
</file>

<file path=word/drawings/drawing3.xml><?xml version="1.0" encoding="utf-8"?>
<c:userShapes xmlns:c="http://schemas.openxmlformats.org/drawingml/2006/chart">
  <cdr:relSizeAnchor xmlns:cdr="http://schemas.openxmlformats.org/drawingml/2006/chartDrawing">
    <cdr:from>
      <cdr:x>0.52124</cdr:x>
      <cdr:y>0.8031</cdr:y>
    </cdr:from>
    <cdr:to>
      <cdr:x>1</cdr:x>
      <cdr:y>0.8031</cdr:y>
    </cdr:to>
    <cdr:cxnSp macro="">
      <cdr:nvCxnSpPr>
        <cdr:cNvPr id="3" name="Conector recto 2"/>
        <cdr:cNvCxnSpPr/>
      </cdr:nvCxnSpPr>
      <cdr:spPr>
        <a:xfrm xmlns:a="http://schemas.openxmlformats.org/drawingml/2006/main">
          <a:off x="1590731" y="2915490"/>
          <a:ext cx="1461079" cy="0"/>
        </a:xfrm>
        <a:prstGeom xmlns:a="http://schemas.openxmlformats.org/drawingml/2006/main" prst="line">
          <a:avLst/>
        </a:prstGeom>
        <a:effectLst xmlns:a="http://schemas.openxmlformats.org/drawingml/2006/main">
          <a:outerShdw blurRad="50800" dist="38100" dir="18900000" algn="bl" rotWithShape="0">
            <a:prstClr val="black">
              <a:alpha val="40000"/>
            </a:prstClr>
          </a:outerShdw>
        </a:effectLst>
      </cdr:spPr>
      <cdr:style>
        <a:lnRef xmlns:a="http://schemas.openxmlformats.org/drawingml/2006/main" idx="3">
          <a:schemeClr val="dk1"/>
        </a:lnRef>
        <a:fillRef xmlns:a="http://schemas.openxmlformats.org/drawingml/2006/main" idx="0">
          <a:schemeClr val="dk1"/>
        </a:fillRef>
        <a:effectRef xmlns:a="http://schemas.openxmlformats.org/drawingml/2006/main" idx="2">
          <a:schemeClr val="dk1"/>
        </a:effectRef>
        <a:fontRef xmlns:a="http://schemas.openxmlformats.org/drawingml/2006/main" idx="minor">
          <a:schemeClr val="tx1"/>
        </a:fontRef>
      </cdr:style>
    </cdr:cxnSp>
  </cdr:relSizeAnchor>
  <cdr:relSizeAnchor xmlns:cdr="http://schemas.openxmlformats.org/drawingml/2006/chartDrawing">
    <cdr:from>
      <cdr:x>0.66485</cdr:x>
      <cdr:y>0.91696</cdr:y>
    </cdr:from>
    <cdr:to>
      <cdr:x>1</cdr:x>
      <cdr:y>1</cdr:y>
    </cdr:to>
    <cdr:sp macro="" textlink="">
      <cdr:nvSpPr>
        <cdr:cNvPr id="4" name="Cuadro de texto 2"/>
        <cdr:cNvSpPr txBox="1">
          <a:spLocks xmlns:a="http://schemas.openxmlformats.org/drawingml/2006/main" noChangeArrowheads="1"/>
        </cdr:cNvSpPr>
      </cdr:nvSpPr>
      <cdr:spPr bwMode="auto">
        <a:xfrm xmlns:a="http://schemas.openxmlformats.org/drawingml/2006/main">
          <a:off x="2028995" y="3894219"/>
          <a:ext cx="1022815" cy="352661"/>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pPr algn="r">
            <a:spcAft>
              <a:spcPts val="0"/>
            </a:spcAft>
          </a:pPr>
          <a:r>
            <a:rPr lang="es-GT" sz="800">
              <a:effectLst/>
              <a:latin typeface="Times New Roman" panose="02020603050405020304" pitchFamily="18" charset="0"/>
              <a:ea typeface="Times New Roman" panose="02020603050405020304" pitchFamily="18" charset="0"/>
              <a:cs typeface="Times New Roman" panose="02020603050405020304" pitchFamily="18" charset="0"/>
            </a:rPr>
            <a:t>*Cifras preliminares</a:t>
          </a:r>
          <a:endParaRPr lang="es-GT" sz="1100">
            <a:effectLst/>
            <a:latin typeface="Times New Roman" panose="02020603050405020304" pitchFamily="18" charset="0"/>
            <a:ea typeface="Times New Roman" panose="02020603050405020304" pitchFamily="18" charset="0"/>
            <a:cs typeface="Times New Roman" panose="02020603050405020304" pitchFamily="18" charset="0"/>
          </a:endParaRPr>
        </a:p>
        <a:p xmlns:a="http://schemas.openxmlformats.org/drawingml/2006/main">
          <a:pPr algn="r">
            <a:spcAft>
              <a:spcPts val="0"/>
            </a:spcAft>
          </a:pPr>
          <a:r>
            <a:rPr lang="es-GT" sz="800">
              <a:effectLst/>
              <a:latin typeface="Times New Roman" panose="02020603050405020304" pitchFamily="18" charset="0"/>
              <a:ea typeface="Times New Roman" panose="02020603050405020304" pitchFamily="18" charset="0"/>
              <a:cs typeface="Times New Roman" panose="02020603050405020304" pitchFamily="18" charset="0"/>
            </a:rPr>
            <a:t>Fuente: MINFIN</a:t>
          </a:r>
          <a:endParaRPr lang="es-GT" sz="1100">
            <a:effectLst/>
            <a:latin typeface="Times New Roman" panose="02020603050405020304" pitchFamily="18" charset="0"/>
            <a:ea typeface="Times New Roman" panose="02020603050405020304" pitchFamily="18" charset="0"/>
            <a:cs typeface="Times New Roman" panose="02020603050405020304" pitchFamily="18" charset="0"/>
          </a:endParaRPr>
        </a:p>
        <a:p xmlns:a="http://schemas.openxmlformats.org/drawingml/2006/main">
          <a:pPr algn="r">
            <a:spcAft>
              <a:spcPts val="0"/>
            </a:spcAft>
          </a:pPr>
          <a:r>
            <a:rPr lang="es-GT" sz="1100">
              <a:effectLst/>
              <a:latin typeface="Times New Roman" panose="02020603050405020304" pitchFamily="18" charset="0"/>
              <a:ea typeface="Times New Roman" panose="02020603050405020304" pitchFamily="18" charset="0"/>
              <a:cs typeface="Times New Roman" panose="02020603050405020304" pitchFamily="18" charset="0"/>
            </a:rPr>
            <a:t> </a:t>
          </a:r>
        </a:p>
        <a:p xmlns:a="http://schemas.openxmlformats.org/drawingml/2006/main">
          <a:pPr algn="r">
            <a:spcAft>
              <a:spcPts val="0"/>
            </a:spcAft>
          </a:pPr>
          <a:r>
            <a:rPr lang="es-GT" sz="1100">
              <a:effectLst/>
              <a:latin typeface="Times New Roman" panose="02020603050405020304" pitchFamily="18" charset="0"/>
              <a:ea typeface="Times New Roman" panose="02020603050405020304" pitchFamily="18" charset="0"/>
              <a:cs typeface="Times New Roman" panose="02020603050405020304" pitchFamily="18" charset="0"/>
            </a:rPr>
            <a:t> </a:t>
          </a:r>
        </a:p>
      </cdr:txBody>
    </cdr:sp>
  </cdr:relSizeAnchor>
</c:userShapes>
</file>

<file path=word/drawings/drawing4.xml><?xml version="1.0" encoding="utf-8"?>
<c:userShapes xmlns:c="http://schemas.openxmlformats.org/drawingml/2006/chart">
  <cdr:relSizeAnchor xmlns:cdr="http://schemas.openxmlformats.org/drawingml/2006/chartDrawing">
    <cdr:from>
      <cdr:x>0.64156</cdr:x>
      <cdr:y>0.82855</cdr:y>
    </cdr:from>
    <cdr:to>
      <cdr:x>1</cdr:x>
      <cdr:y>1</cdr:y>
    </cdr:to>
    <cdr:sp macro="" textlink="">
      <cdr:nvSpPr>
        <cdr:cNvPr id="2" name="Cuadro de texto 2"/>
        <cdr:cNvSpPr txBox="1">
          <a:spLocks xmlns:a="http://schemas.openxmlformats.org/drawingml/2006/main" noChangeArrowheads="1"/>
        </cdr:cNvSpPr>
      </cdr:nvSpPr>
      <cdr:spPr bwMode="auto">
        <a:xfrm xmlns:a="http://schemas.openxmlformats.org/drawingml/2006/main">
          <a:off x="1825517" y="1533141"/>
          <a:ext cx="1019918" cy="317249"/>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spcAft>
              <a:spcPts val="0"/>
            </a:spcAft>
          </a:pPr>
          <a:r>
            <a:rPr lang="es-GT" sz="800">
              <a:effectLst/>
              <a:latin typeface="Times New Roman" panose="02020603050405020304" pitchFamily="18" charset="0"/>
              <a:ea typeface="Times New Roman" panose="02020603050405020304" pitchFamily="18" charset="0"/>
              <a:cs typeface="Times New Roman" panose="02020603050405020304" pitchFamily="18" charset="0"/>
            </a:rPr>
            <a:t>*Cifras preliminares</a:t>
          </a:r>
          <a:endParaRPr lang="es-GT" sz="1100">
            <a:effectLst/>
            <a:latin typeface="Times New Roman" panose="02020603050405020304" pitchFamily="18" charset="0"/>
            <a:ea typeface="Times New Roman" panose="02020603050405020304" pitchFamily="18" charset="0"/>
            <a:cs typeface="Times New Roman" panose="02020603050405020304" pitchFamily="18" charset="0"/>
          </a:endParaRPr>
        </a:p>
        <a:p xmlns:a="http://schemas.openxmlformats.org/drawingml/2006/main">
          <a:pPr algn="r">
            <a:spcAft>
              <a:spcPts val="0"/>
            </a:spcAft>
          </a:pPr>
          <a:r>
            <a:rPr lang="es-GT" sz="800">
              <a:effectLst/>
              <a:latin typeface="Times New Roman" panose="02020603050405020304" pitchFamily="18" charset="0"/>
              <a:ea typeface="Times New Roman" panose="02020603050405020304" pitchFamily="18" charset="0"/>
              <a:cs typeface="Times New Roman" panose="02020603050405020304" pitchFamily="18" charset="0"/>
            </a:rPr>
            <a:t>Fuente: MINFIN</a:t>
          </a:r>
          <a:endParaRPr lang="es-GT" sz="1100">
            <a:effectLst/>
            <a:latin typeface="Times New Roman" panose="02020603050405020304" pitchFamily="18" charset="0"/>
            <a:ea typeface="Times New Roman" panose="02020603050405020304" pitchFamily="18" charset="0"/>
            <a:cs typeface="Times New Roman" panose="02020603050405020304" pitchFamily="18" charset="0"/>
          </a:endParaRPr>
        </a:p>
        <a:p xmlns:a="http://schemas.openxmlformats.org/drawingml/2006/main">
          <a:pPr algn="r">
            <a:spcAft>
              <a:spcPts val="0"/>
            </a:spcAft>
          </a:pPr>
          <a:r>
            <a:rPr lang="es-GT" sz="1100">
              <a:effectLst/>
              <a:latin typeface="Times New Roman" panose="02020603050405020304" pitchFamily="18" charset="0"/>
              <a:ea typeface="Times New Roman" panose="02020603050405020304" pitchFamily="18" charset="0"/>
              <a:cs typeface="Times New Roman" panose="02020603050405020304" pitchFamily="18" charset="0"/>
            </a:rPr>
            <a:t> </a:t>
          </a:r>
        </a:p>
        <a:p xmlns:a="http://schemas.openxmlformats.org/drawingml/2006/main">
          <a:pPr algn="r">
            <a:spcAft>
              <a:spcPts val="0"/>
            </a:spcAft>
          </a:pPr>
          <a:r>
            <a:rPr lang="es-GT" sz="1100">
              <a:effectLst/>
              <a:latin typeface="Times New Roman" panose="02020603050405020304" pitchFamily="18" charset="0"/>
              <a:ea typeface="Times New Roman" panose="02020603050405020304" pitchFamily="18" charset="0"/>
              <a:cs typeface="Times New Roman" panose="02020603050405020304" pitchFamily="18" charset="0"/>
            </a:rPr>
            <a:t> </a:t>
          </a:r>
        </a:p>
      </cdr:txBody>
    </cdr:sp>
  </cdr:relSizeAnchor>
</c:userShapes>
</file>

<file path=word/drawings/drawing5.xml><?xml version="1.0" encoding="utf-8"?>
<c:userShapes xmlns:c="http://schemas.openxmlformats.org/drawingml/2006/chart">
  <cdr:relSizeAnchor xmlns:cdr="http://schemas.openxmlformats.org/drawingml/2006/chartDrawing">
    <cdr:from>
      <cdr:x>0.12643</cdr:x>
      <cdr:y>0.20821</cdr:y>
    </cdr:from>
    <cdr:to>
      <cdr:x>0.12643</cdr:x>
      <cdr:y>0.62637</cdr:y>
    </cdr:to>
    <cdr:cxnSp macro="">
      <cdr:nvCxnSpPr>
        <cdr:cNvPr id="3" name="Conector recto 2"/>
        <cdr:cNvCxnSpPr/>
      </cdr:nvCxnSpPr>
      <cdr:spPr>
        <a:xfrm xmlns:a="http://schemas.openxmlformats.org/drawingml/2006/main">
          <a:off x="693646" y="530572"/>
          <a:ext cx="0" cy="1065570"/>
        </a:xfrm>
        <a:prstGeom xmlns:a="http://schemas.openxmlformats.org/drawingml/2006/main" prst="line">
          <a:avLst/>
        </a:prstGeom>
        <a:effectLst xmlns:a="http://schemas.openxmlformats.org/drawingml/2006/main">
          <a:outerShdw blurRad="50800" dist="38100" dir="18900000" algn="bl" rotWithShape="0">
            <a:prstClr val="black">
              <a:alpha val="40000"/>
            </a:prstClr>
          </a:outerShdw>
        </a:effectLst>
      </cdr:spPr>
      <cdr:style>
        <a:lnRef xmlns:a="http://schemas.openxmlformats.org/drawingml/2006/main" idx="3">
          <a:schemeClr val="dk1"/>
        </a:lnRef>
        <a:fillRef xmlns:a="http://schemas.openxmlformats.org/drawingml/2006/main" idx="0">
          <a:schemeClr val="dk1"/>
        </a:fillRef>
        <a:effectRef xmlns:a="http://schemas.openxmlformats.org/drawingml/2006/main" idx="2">
          <a:schemeClr val="dk1"/>
        </a:effectRef>
        <a:fontRef xmlns:a="http://schemas.openxmlformats.org/drawingml/2006/main" idx="minor">
          <a:schemeClr val="tx1"/>
        </a:fontRef>
      </cdr:style>
    </cdr:cxnSp>
  </cdr:relSizeAnchor>
  <cdr:relSizeAnchor xmlns:cdr="http://schemas.openxmlformats.org/drawingml/2006/chartDrawing">
    <cdr:from>
      <cdr:x>0</cdr:x>
      <cdr:y>0.87884</cdr:y>
    </cdr:from>
    <cdr:to>
      <cdr:x>0.1859</cdr:x>
      <cdr:y>1</cdr:y>
    </cdr:to>
    <cdr:sp macro="" textlink="">
      <cdr:nvSpPr>
        <cdr:cNvPr id="4" name="Cuadro de texto 2"/>
        <cdr:cNvSpPr txBox="1">
          <a:spLocks xmlns:a="http://schemas.openxmlformats.org/drawingml/2006/main" noChangeArrowheads="1"/>
        </cdr:cNvSpPr>
      </cdr:nvSpPr>
      <cdr:spPr bwMode="auto">
        <a:xfrm xmlns:a="http://schemas.openxmlformats.org/drawingml/2006/main">
          <a:off x="0" y="2239508"/>
          <a:ext cx="1019922" cy="308747"/>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a:spcAft>
              <a:spcPts val="0"/>
            </a:spcAft>
          </a:pPr>
          <a:r>
            <a:rPr lang="es-GT" sz="800">
              <a:effectLst/>
              <a:latin typeface="Times New Roman" panose="02020603050405020304" pitchFamily="18" charset="0"/>
              <a:ea typeface="Times New Roman" panose="02020603050405020304" pitchFamily="18" charset="0"/>
              <a:cs typeface="Times New Roman" panose="02020603050405020304" pitchFamily="18" charset="0"/>
            </a:rPr>
            <a:t>*Cifras preliminares</a:t>
          </a:r>
          <a:endParaRPr lang="es-GT" sz="1100">
            <a:effectLst/>
            <a:latin typeface="Times New Roman" panose="02020603050405020304" pitchFamily="18" charset="0"/>
            <a:ea typeface="Times New Roman" panose="02020603050405020304" pitchFamily="18" charset="0"/>
            <a:cs typeface="Times New Roman" panose="02020603050405020304" pitchFamily="18" charset="0"/>
          </a:endParaRPr>
        </a:p>
        <a:p xmlns:a="http://schemas.openxmlformats.org/drawingml/2006/main">
          <a:pPr algn="l">
            <a:spcAft>
              <a:spcPts val="0"/>
            </a:spcAft>
          </a:pPr>
          <a:r>
            <a:rPr lang="es-GT" sz="800">
              <a:effectLst/>
              <a:latin typeface="Times New Roman" panose="02020603050405020304" pitchFamily="18" charset="0"/>
              <a:ea typeface="Times New Roman" panose="02020603050405020304" pitchFamily="18" charset="0"/>
              <a:cs typeface="Times New Roman" panose="02020603050405020304" pitchFamily="18" charset="0"/>
            </a:rPr>
            <a:t>Fuente: MINFIN</a:t>
          </a:r>
          <a:endParaRPr lang="es-GT" sz="1100">
            <a:effectLst/>
            <a:latin typeface="Times New Roman" panose="02020603050405020304" pitchFamily="18" charset="0"/>
            <a:ea typeface="Times New Roman" panose="02020603050405020304" pitchFamily="18" charset="0"/>
            <a:cs typeface="Times New Roman" panose="02020603050405020304" pitchFamily="18" charset="0"/>
          </a:endParaRPr>
        </a:p>
        <a:p xmlns:a="http://schemas.openxmlformats.org/drawingml/2006/main">
          <a:pPr algn="l">
            <a:spcAft>
              <a:spcPts val="0"/>
            </a:spcAft>
          </a:pPr>
          <a:r>
            <a:rPr lang="es-GT" sz="1100">
              <a:effectLst/>
              <a:latin typeface="Times New Roman" panose="02020603050405020304" pitchFamily="18" charset="0"/>
              <a:ea typeface="Times New Roman" panose="02020603050405020304" pitchFamily="18" charset="0"/>
              <a:cs typeface="Times New Roman" panose="02020603050405020304" pitchFamily="18" charset="0"/>
            </a:rPr>
            <a:t> </a:t>
          </a:r>
        </a:p>
        <a:p xmlns:a="http://schemas.openxmlformats.org/drawingml/2006/main">
          <a:pPr algn="l">
            <a:spcAft>
              <a:spcPts val="0"/>
            </a:spcAft>
          </a:pPr>
          <a:r>
            <a:rPr lang="es-GT" sz="1100">
              <a:effectLst/>
              <a:latin typeface="Times New Roman" panose="02020603050405020304" pitchFamily="18" charset="0"/>
              <a:ea typeface="Times New Roman" panose="02020603050405020304" pitchFamily="18" charset="0"/>
              <a:cs typeface="Times New Roman" panose="02020603050405020304" pitchFamily="18" charset="0"/>
            </a:rPr>
            <a:t> </a:t>
          </a:r>
        </a:p>
      </cdr:txBody>
    </cdr:sp>
  </cdr:relSizeAnchor>
</c:userShapes>
</file>

<file path=word/drawings/drawing6.xml><?xml version="1.0" encoding="utf-8"?>
<c:userShapes xmlns:c="http://schemas.openxmlformats.org/drawingml/2006/chart">
  <cdr:relSizeAnchor xmlns:cdr="http://schemas.openxmlformats.org/drawingml/2006/chartDrawing">
    <cdr:from>
      <cdr:x>0.82197</cdr:x>
      <cdr:y>0.83708</cdr:y>
    </cdr:from>
    <cdr:to>
      <cdr:x>1</cdr:x>
      <cdr:y>0.98125</cdr:y>
    </cdr:to>
    <cdr:sp macro="" textlink="">
      <cdr:nvSpPr>
        <cdr:cNvPr id="2" name="Cuadro de texto 2"/>
        <cdr:cNvSpPr txBox="1">
          <a:spLocks xmlns:a="http://schemas.openxmlformats.org/drawingml/2006/main" noChangeArrowheads="1"/>
        </cdr:cNvSpPr>
      </cdr:nvSpPr>
      <cdr:spPr bwMode="auto">
        <a:xfrm xmlns:a="http://schemas.openxmlformats.org/drawingml/2006/main">
          <a:off x="4709041" y="1448987"/>
          <a:ext cx="1019929" cy="249559"/>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a:spcAft>
              <a:spcPts val="0"/>
            </a:spcAft>
          </a:pPr>
          <a:r>
            <a:rPr lang="es-GT" sz="800">
              <a:effectLst/>
              <a:latin typeface="Times New Roman" panose="02020603050405020304" pitchFamily="18" charset="0"/>
              <a:ea typeface="Times New Roman" panose="02020603050405020304" pitchFamily="18" charset="0"/>
              <a:cs typeface="Times New Roman" panose="02020603050405020304" pitchFamily="18" charset="0"/>
            </a:rPr>
            <a:t>*Cifras preliminares</a:t>
          </a:r>
          <a:endParaRPr lang="es-GT" sz="1100">
            <a:effectLst/>
            <a:latin typeface="Times New Roman" panose="02020603050405020304" pitchFamily="18" charset="0"/>
            <a:ea typeface="Times New Roman" panose="02020603050405020304" pitchFamily="18" charset="0"/>
            <a:cs typeface="Times New Roman" panose="02020603050405020304" pitchFamily="18" charset="0"/>
          </a:endParaRPr>
        </a:p>
        <a:p xmlns:a="http://schemas.openxmlformats.org/drawingml/2006/main">
          <a:pPr algn="l">
            <a:spcAft>
              <a:spcPts val="0"/>
            </a:spcAft>
          </a:pPr>
          <a:r>
            <a:rPr lang="es-GT" sz="800">
              <a:effectLst/>
              <a:latin typeface="Times New Roman" panose="02020603050405020304" pitchFamily="18" charset="0"/>
              <a:ea typeface="Times New Roman" panose="02020603050405020304" pitchFamily="18" charset="0"/>
              <a:cs typeface="Times New Roman" panose="02020603050405020304" pitchFamily="18" charset="0"/>
            </a:rPr>
            <a:t>Fuente: MINFIN</a:t>
          </a:r>
          <a:endParaRPr lang="es-GT" sz="1100">
            <a:effectLst/>
            <a:latin typeface="Times New Roman" panose="02020603050405020304" pitchFamily="18" charset="0"/>
            <a:ea typeface="Times New Roman" panose="02020603050405020304" pitchFamily="18" charset="0"/>
            <a:cs typeface="Times New Roman" panose="02020603050405020304" pitchFamily="18" charset="0"/>
          </a:endParaRPr>
        </a:p>
        <a:p xmlns:a="http://schemas.openxmlformats.org/drawingml/2006/main">
          <a:pPr algn="l">
            <a:spcAft>
              <a:spcPts val="0"/>
            </a:spcAft>
          </a:pPr>
          <a:r>
            <a:rPr lang="es-GT" sz="1100">
              <a:effectLst/>
              <a:latin typeface="Times New Roman" panose="02020603050405020304" pitchFamily="18" charset="0"/>
              <a:ea typeface="Times New Roman" panose="02020603050405020304" pitchFamily="18" charset="0"/>
              <a:cs typeface="Times New Roman" panose="02020603050405020304" pitchFamily="18" charset="0"/>
            </a:rPr>
            <a:t> </a:t>
          </a:r>
        </a:p>
        <a:p xmlns:a="http://schemas.openxmlformats.org/drawingml/2006/main">
          <a:pPr algn="l">
            <a:spcAft>
              <a:spcPts val="0"/>
            </a:spcAft>
          </a:pPr>
          <a:r>
            <a:rPr lang="es-GT" sz="1100">
              <a:effectLst/>
              <a:latin typeface="Times New Roman" panose="02020603050405020304" pitchFamily="18" charset="0"/>
              <a:ea typeface="Times New Roman" panose="02020603050405020304" pitchFamily="18" charset="0"/>
              <a:cs typeface="Times New Roman" panose="02020603050405020304" pitchFamily="18" charset="0"/>
            </a:rPr>
            <a:t> </a:t>
          </a:r>
        </a:p>
      </cdr:txBody>
    </cdr:sp>
  </cdr:relSizeAnchor>
</c:userShapes>
</file>

<file path=word/drawings/drawing7.xml><?xml version="1.0" encoding="utf-8"?>
<c:userShapes xmlns:c="http://schemas.openxmlformats.org/drawingml/2006/chart">
  <cdr:relSizeAnchor xmlns:cdr="http://schemas.openxmlformats.org/drawingml/2006/chartDrawing">
    <cdr:from>
      <cdr:x>0.84956</cdr:x>
      <cdr:y>0.05715</cdr:y>
    </cdr:from>
    <cdr:to>
      <cdr:x>0.84956</cdr:x>
      <cdr:y>0.63257</cdr:y>
    </cdr:to>
    <cdr:cxnSp macro="">
      <cdr:nvCxnSpPr>
        <cdr:cNvPr id="4" name="Conector recto 3"/>
        <cdr:cNvCxnSpPr/>
      </cdr:nvCxnSpPr>
      <cdr:spPr>
        <a:xfrm xmlns:a="http://schemas.openxmlformats.org/drawingml/2006/main">
          <a:off x="2417373" y="92146"/>
          <a:ext cx="0" cy="927730"/>
        </a:xfrm>
        <a:prstGeom xmlns:a="http://schemas.openxmlformats.org/drawingml/2006/main" prst="line">
          <a:avLst/>
        </a:prstGeom>
        <a:ln xmlns:a="http://schemas.openxmlformats.org/drawingml/2006/main" w="28575" cap="flat" cmpd="sng" algn="ctr">
          <a:solidFill>
            <a:schemeClr val="tx1"/>
          </a:solidFill>
          <a:prstDash val="dash"/>
          <a:round/>
          <a:headEnd type="none" w="med" len="med"/>
          <a:tailEnd type="none" w="med" len="med"/>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cxnSp>
  </cdr:relSizeAnchor>
</c:userShapes>
</file>

<file path=word/drawings/drawing8.xml><?xml version="1.0" encoding="utf-8"?>
<c:userShapes xmlns:c="http://schemas.openxmlformats.org/drawingml/2006/chart">
  <cdr:relSizeAnchor xmlns:cdr="http://schemas.openxmlformats.org/drawingml/2006/chartDrawing">
    <cdr:from>
      <cdr:x>0.87161</cdr:x>
      <cdr:y>0.10198</cdr:y>
    </cdr:from>
    <cdr:to>
      <cdr:x>0.87161</cdr:x>
      <cdr:y>0.74338</cdr:y>
    </cdr:to>
    <cdr:cxnSp macro="">
      <cdr:nvCxnSpPr>
        <cdr:cNvPr id="3" name="Conector recto 2"/>
        <cdr:cNvCxnSpPr/>
      </cdr:nvCxnSpPr>
      <cdr:spPr>
        <a:xfrm xmlns:a="http://schemas.openxmlformats.org/drawingml/2006/main">
          <a:off x="2937830" y="205604"/>
          <a:ext cx="0" cy="1293146"/>
        </a:xfrm>
        <a:prstGeom xmlns:a="http://schemas.openxmlformats.org/drawingml/2006/main" prst="line">
          <a:avLst/>
        </a:prstGeom>
        <a:ln xmlns:a="http://schemas.openxmlformats.org/drawingml/2006/main" w="28575" cap="flat" cmpd="sng" algn="ctr">
          <a:solidFill>
            <a:schemeClr val="tx1"/>
          </a:solidFill>
          <a:prstDash val="dash"/>
          <a:round/>
          <a:headEnd type="none" w="med" len="med"/>
          <a:tailEnd type="none" w="med" len="med"/>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cxnSp>
  </cdr:relSizeAnchor>
</c:userShapes>
</file>

<file path=word/drawings/drawing9.xml><?xml version="1.0" encoding="utf-8"?>
<c:userShapes xmlns:c="http://schemas.openxmlformats.org/drawingml/2006/chart">
  <cdr:relSizeAnchor xmlns:cdr="http://schemas.openxmlformats.org/drawingml/2006/chartDrawing">
    <cdr:from>
      <cdr:x>0</cdr:x>
      <cdr:y>0.88404</cdr:y>
    </cdr:from>
    <cdr:to>
      <cdr:x>0.1859</cdr:x>
      <cdr:y>0.97053</cdr:y>
    </cdr:to>
    <cdr:sp macro="" textlink="">
      <cdr:nvSpPr>
        <cdr:cNvPr id="2" name="Cuadro de texto 2"/>
        <cdr:cNvSpPr txBox="1">
          <a:spLocks xmlns:a="http://schemas.openxmlformats.org/drawingml/2006/main" noChangeArrowheads="1"/>
        </cdr:cNvSpPr>
      </cdr:nvSpPr>
      <cdr:spPr bwMode="auto">
        <a:xfrm xmlns:a="http://schemas.openxmlformats.org/drawingml/2006/main">
          <a:off x="0" y="2702411"/>
          <a:ext cx="1019914" cy="264399"/>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a:spcAft>
              <a:spcPts val="0"/>
            </a:spcAft>
          </a:pPr>
          <a:r>
            <a:rPr lang="es-GT" sz="800">
              <a:effectLst/>
              <a:latin typeface="Times New Roman" panose="02020603050405020304" pitchFamily="18" charset="0"/>
              <a:ea typeface="Times New Roman" panose="02020603050405020304" pitchFamily="18" charset="0"/>
              <a:cs typeface="Times New Roman" panose="02020603050405020304" pitchFamily="18" charset="0"/>
            </a:rPr>
            <a:t>*Cifras preliminares</a:t>
          </a:r>
          <a:endParaRPr lang="es-GT" sz="1100">
            <a:effectLst/>
            <a:latin typeface="Times New Roman" panose="02020603050405020304" pitchFamily="18" charset="0"/>
            <a:ea typeface="Times New Roman" panose="02020603050405020304" pitchFamily="18" charset="0"/>
            <a:cs typeface="Times New Roman" panose="02020603050405020304" pitchFamily="18" charset="0"/>
          </a:endParaRPr>
        </a:p>
        <a:p xmlns:a="http://schemas.openxmlformats.org/drawingml/2006/main">
          <a:pPr algn="l">
            <a:spcAft>
              <a:spcPts val="0"/>
            </a:spcAft>
          </a:pPr>
          <a:r>
            <a:rPr lang="es-GT" sz="800">
              <a:effectLst/>
              <a:latin typeface="Times New Roman" panose="02020603050405020304" pitchFamily="18" charset="0"/>
              <a:ea typeface="Times New Roman" panose="02020603050405020304" pitchFamily="18" charset="0"/>
              <a:cs typeface="Times New Roman" panose="02020603050405020304" pitchFamily="18" charset="0"/>
            </a:rPr>
            <a:t>Fuente: MINFIN</a:t>
          </a:r>
          <a:endParaRPr lang="es-GT" sz="1100">
            <a:effectLst/>
            <a:latin typeface="Times New Roman" panose="02020603050405020304" pitchFamily="18" charset="0"/>
            <a:ea typeface="Times New Roman" panose="02020603050405020304" pitchFamily="18" charset="0"/>
            <a:cs typeface="Times New Roman" panose="02020603050405020304" pitchFamily="18" charset="0"/>
          </a:endParaRPr>
        </a:p>
        <a:p xmlns:a="http://schemas.openxmlformats.org/drawingml/2006/main">
          <a:pPr algn="l">
            <a:spcAft>
              <a:spcPts val="0"/>
            </a:spcAft>
          </a:pPr>
          <a:r>
            <a:rPr lang="es-GT" sz="1100">
              <a:effectLst/>
              <a:latin typeface="Times New Roman" panose="02020603050405020304" pitchFamily="18" charset="0"/>
              <a:ea typeface="Times New Roman" panose="02020603050405020304" pitchFamily="18" charset="0"/>
              <a:cs typeface="Times New Roman" panose="02020603050405020304" pitchFamily="18" charset="0"/>
            </a:rPr>
            <a:t> </a:t>
          </a:r>
        </a:p>
        <a:p xmlns:a="http://schemas.openxmlformats.org/drawingml/2006/main">
          <a:pPr algn="l">
            <a:spcAft>
              <a:spcPts val="0"/>
            </a:spcAft>
          </a:pPr>
          <a:r>
            <a:rPr lang="es-GT" sz="1100">
              <a:effectLst/>
              <a:latin typeface="Times New Roman" panose="02020603050405020304" pitchFamily="18" charset="0"/>
              <a:ea typeface="Times New Roman" panose="02020603050405020304" pitchFamily="18" charset="0"/>
              <a:cs typeface="Times New Roman" panose="02020603050405020304" pitchFamily="18" charset="0"/>
            </a:rPr>
            <a:t> </a:t>
          </a:r>
        </a:p>
      </cdr:txBody>
    </cdr:sp>
  </cdr:relSizeAnchor>
</c:userShape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2AC17C-4EEF-4839-B338-9DD1786055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192</TotalTime>
  <Pages>10</Pages>
  <Words>2579</Words>
  <Characters>14189</Characters>
  <Application>Microsoft Office Word</Application>
  <DocSecurity>0</DocSecurity>
  <Lines>118</Lines>
  <Paragraphs>33</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Informe de las FinanzAs públicas</vt:lpstr>
      <vt:lpstr>Informe de las FinanzAs públicas</vt:lpstr>
    </vt:vector>
  </TitlesOfParts>
  <Company>Dirección de Análisis y Política Fiscal</Company>
  <LinksUpToDate>false</LinksUpToDate>
  <CharactersWithSpaces>16735</CharactersWithSpaces>
  <SharedDoc>false</SharedDoc>
  <HLinks>
    <vt:vector size="102" baseType="variant">
      <vt:variant>
        <vt:i4>1966137</vt:i4>
      </vt:variant>
      <vt:variant>
        <vt:i4>98</vt:i4>
      </vt:variant>
      <vt:variant>
        <vt:i4>0</vt:i4>
      </vt:variant>
      <vt:variant>
        <vt:i4>5</vt:i4>
      </vt:variant>
      <vt:variant>
        <vt:lpwstr/>
      </vt:variant>
      <vt:variant>
        <vt:lpwstr>_Toc71108078</vt:lpwstr>
      </vt:variant>
      <vt:variant>
        <vt:i4>1114169</vt:i4>
      </vt:variant>
      <vt:variant>
        <vt:i4>92</vt:i4>
      </vt:variant>
      <vt:variant>
        <vt:i4>0</vt:i4>
      </vt:variant>
      <vt:variant>
        <vt:i4>5</vt:i4>
      </vt:variant>
      <vt:variant>
        <vt:lpwstr/>
      </vt:variant>
      <vt:variant>
        <vt:lpwstr>_Toc71108077</vt:lpwstr>
      </vt:variant>
      <vt:variant>
        <vt:i4>1245241</vt:i4>
      </vt:variant>
      <vt:variant>
        <vt:i4>86</vt:i4>
      </vt:variant>
      <vt:variant>
        <vt:i4>0</vt:i4>
      </vt:variant>
      <vt:variant>
        <vt:i4>5</vt:i4>
      </vt:variant>
      <vt:variant>
        <vt:lpwstr/>
      </vt:variant>
      <vt:variant>
        <vt:lpwstr>_Toc71108075</vt:lpwstr>
      </vt:variant>
      <vt:variant>
        <vt:i4>1179705</vt:i4>
      </vt:variant>
      <vt:variant>
        <vt:i4>80</vt:i4>
      </vt:variant>
      <vt:variant>
        <vt:i4>0</vt:i4>
      </vt:variant>
      <vt:variant>
        <vt:i4>5</vt:i4>
      </vt:variant>
      <vt:variant>
        <vt:lpwstr/>
      </vt:variant>
      <vt:variant>
        <vt:lpwstr>_Toc71108074</vt:lpwstr>
      </vt:variant>
      <vt:variant>
        <vt:i4>1376313</vt:i4>
      </vt:variant>
      <vt:variant>
        <vt:i4>74</vt:i4>
      </vt:variant>
      <vt:variant>
        <vt:i4>0</vt:i4>
      </vt:variant>
      <vt:variant>
        <vt:i4>5</vt:i4>
      </vt:variant>
      <vt:variant>
        <vt:lpwstr/>
      </vt:variant>
      <vt:variant>
        <vt:lpwstr>_Toc71108073</vt:lpwstr>
      </vt:variant>
      <vt:variant>
        <vt:i4>1048632</vt:i4>
      </vt:variant>
      <vt:variant>
        <vt:i4>68</vt:i4>
      </vt:variant>
      <vt:variant>
        <vt:i4>0</vt:i4>
      </vt:variant>
      <vt:variant>
        <vt:i4>5</vt:i4>
      </vt:variant>
      <vt:variant>
        <vt:lpwstr/>
      </vt:variant>
      <vt:variant>
        <vt:lpwstr>_Toc71108066</vt:lpwstr>
      </vt:variant>
      <vt:variant>
        <vt:i4>1245240</vt:i4>
      </vt:variant>
      <vt:variant>
        <vt:i4>62</vt:i4>
      </vt:variant>
      <vt:variant>
        <vt:i4>0</vt:i4>
      </vt:variant>
      <vt:variant>
        <vt:i4>5</vt:i4>
      </vt:variant>
      <vt:variant>
        <vt:lpwstr/>
      </vt:variant>
      <vt:variant>
        <vt:lpwstr>_Toc71108065</vt:lpwstr>
      </vt:variant>
      <vt:variant>
        <vt:i4>1179704</vt:i4>
      </vt:variant>
      <vt:variant>
        <vt:i4>56</vt:i4>
      </vt:variant>
      <vt:variant>
        <vt:i4>0</vt:i4>
      </vt:variant>
      <vt:variant>
        <vt:i4>5</vt:i4>
      </vt:variant>
      <vt:variant>
        <vt:lpwstr/>
      </vt:variant>
      <vt:variant>
        <vt:lpwstr>_Toc71108064</vt:lpwstr>
      </vt:variant>
      <vt:variant>
        <vt:i4>1310776</vt:i4>
      </vt:variant>
      <vt:variant>
        <vt:i4>50</vt:i4>
      </vt:variant>
      <vt:variant>
        <vt:i4>0</vt:i4>
      </vt:variant>
      <vt:variant>
        <vt:i4>5</vt:i4>
      </vt:variant>
      <vt:variant>
        <vt:lpwstr/>
      </vt:variant>
      <vt:variant>
        <vt:lpwstr>_Toc71108062</vt:lpwstr>
      </vt:variant>
      <vt:variant>
        <vt:i4>1507384</vt:i4>
      </vt:variant>
      <vt:variant>
        <vt:i4>44</vt:i4>
      </vt:variant>
      <vt:variant>
        <vt:i4>0</vt:i4>
      </vt:variant>
      <vt:variant>
        <vt:i4>5</vt:i4>
      </vt:variant>
      <vt:variant>
        <vt:lpwstr/>
      </vt:variant>
      <vt:variant>
        <vt:lpwstr>_Toc71108061</vt:lpwstr>
      </vt:variant>
      <vt:variant>
        <vt:i4>2031675</vt:i4>
      </vt:variant>
      <vt:variant>
        <vt:i4>38</vt:i4>
      </vt:variant>
      <vt:variant>
        <vt:i4>0</vt:i4>
      </vt:variant>
      <vt:variant>
        <vt:i4>5</vt:i4>
      </vt:variant>
      <vt:variant>
        <vt:lpwstr/>
      </vt:variant>
      <vt:variant>
        <vt:lpwstr>_Toc71108059</vt:lpwstr>
      </vt:variant>
      <vt:variant>
        <vt:i4>1966139</vt:i4>
      </vt:variant>
      <vt:variant>
        <vt:i4>32</vt:i4>
      </vt:variant>
      <vt:variant>
        <vt:i4>0</vt:i4>
      </vt:variant>
      <vt:variant>
        <vt:i4>5</vt:i4>
      </vt:variant>
      <vt:variant>
        <vt:lpwstr/>
      </vt:variant>
      <vt:variant>
        <vt:lpwstr>_Toc71108058</vt:lpwstr>
      </vt:variant>
      <vt:variant>
        <vt:i4>1245243</vt:i4>
      </vt:variant>
      <vt:variant>
        <vt:i4>26</vt:i4>
      </vt:variant>
      <vt:variant>
        <vt:i4>0</vt:i4>
      </vt:variant>
      <vt:variant>
        <vt:i4>5</vt:i4>
      </vt:variant>
      <vt:variant>
        <vt:lpwstr/>
      </vt:variant>
      <vt:variant>
        <vt:lpwstr>_Toc71108055</vt:lpwstr>
      </vt:variant>
      <vt:variant>
        <vt:i4>1507387</vt:i4>
      </vt:variant>
      <vt:variant>
        <vt:i4>20</vt:i4>
      </vt:variant>
      <vt:variant>
        <vt:i4>0</vt:i4>
      </vt:variant>
      <vt:variant>
        <vt:i4>5</vt:i4>
      </vt:variant>
      <vt:variant>
        <vt:lpwstr/>
      </vt:variant>
      <vt:variant>
        <vt:lpwstr>_Toc71108051</vt:lpwstr>
      </vt:variant>
      <vt:variant>
        <vt:i4>1441851</vt:i4>
      </vt:variant>
      <vt:variant>
        <vt:i4>14</vt:i4>
      </vt:variant>
      <vt:variant>
        <vt:i4>0</vt:i4>
      </vt:variant>
      <vt:variant>
        <vt:i4>5</vt:i4>
      </vt:variant>
      <vt:variant>
        <vt:lpwstr/>
      </vt:variant>
      <vt:variant>
        <vt:lpwstr>_Toc71108050</vt:lpwstr>
      </vt:variant>
      <vt:variant>
        <vt:i4>2031674</vt:i4>
      </vt:variant>
      <vt:variant>
        <vt:i4>8</vt:i4>
      </vt:variant>
      <vt:variant>
        <vt:i4>0</vt:i4>
      </vt:variant>
      <vt:variant>
        <vt:i4>5</vt:i4>
      </vt:variant>
      <vt:variant>
        <vt:lpwstr/>
      </vt:variant>
      <vt:variant>
        <vt:lpwstr>_Toc71108049</vt:lpwstr>
      </vt:variant>
      <vt:variant>
        <vt:i4>1966138</vt:i4>
      </vt:variant>
      <vt:variant>
        <vt:i4>2</vt:i4>
      </vt:variant>
      <vt:variant>
        <vt:i4>0</vt:i4>
      </vt:variant>
      <vt:variant>
        <vt:i4>5</vt:i4>
      </vt:variant>
      <vt:variant>
        <vt:lpwstr/>
      </vt:variant>
      <vt:variant>
        <vt:lpwstr>_Toc71108048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las FinanzAs públicas</dc:title>
  <dc:subject>Segundo Trimestre</dc:subject>
  <dc:creator>DAPF</dc:creator>
  <cp:keywords/>
  <dc:description/>
  <cp:lastModifiedBy>Carlos Herrera</cp:lastModifiedBy>
  <cp:revision>119</cp:revision>
  <cp:lastPrinted>2021-09-24T17:48:00Z</cp:lastPrinted>
  <dcterms:created xsi:type="dcterms:W3CDTF">2021-08-31T15:19:00Z</dcterms:created>
  <dcterms:modified xsi:type="dcterms:W3CDTF">2021-09-24T17:48:00Z</dcterms:modified>
  <cp:category>Ministerio de Finanzas Públicas</cp:category>
</cp:coreProperties>
</file>